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D7D" w:rsidRDefault="00F74D7D" w:rsidP="00F74D7D">
      <w:pPr>
        <w:pStyle w:val="Default"/>
      </w:pPr>
      <w:bookmarkStart w:id="0" w:name="_GoBack"/>
      <w:bookmarkEnd w:id="0"/>
    </w:p>
    <w:p w:rsidR="00A518D3" w:rsidRPr="00A518D3" w:rsidRDefault="00A518D3" w:rsidP="00A518D3">
      <w:pPr>
        <w:spacing w:before="100" w:beforeAutospacing="1" w:after="100" w:afterAutospacing="1" w:line="240" w:lineRule="auto"/>
        <w:outlineLvl w:val="0"/>
        <w:rPr>
          <w:rFonts w:eastAsia="Times New Roman" w:cstheme="minorHAnsi"/>
          <w:b/>
          <w:bCs/>
          <w:kern w:val="36"/>
          <w:sz w:val="40"/>
          <w:szCs w:val="40"/>
        </w:rPr>
      </w:pPr>
      <w:r w:rsidRPr="00A518D3">
        <w:rPr>
          <w:rFonts w:eastAsia="Times New Roman" w:cstheme="minorHAnsi"/>
          <w:b/>
          <w:bCs/>
          <w:kern w:val="36"/>
          <w:sz w:val="40"/>
          <w:szCs w:val="40"/>
        </w:rPr>
        <w:t>Physician Payment Sunshine Act</w:t>
      </w:r>
    </w:p>
    <w:p w:rsidR="003D77A7" w:rsidRDefault="003D77A7" w:rsidP="0062181E">
      <w:pPr>
        <w:spacing w:after="0" w:line="240" w:lineRule="auto"/>
        <w:outlineLvl w:val="1"/>
        <w:rPr>
          <w:rFonts w:eastAsia="Times New Roman" w:cstheme="minorHAnsi"/>
          <w:b/>
          <w:bCs/>
          <w:sz w:val="28"/>
          <w:szCs w:val="28"/>
        </w:rPr>
      </w:pPr>
      <w:r>
        <w:rPr>
          <w:rStyle w:val="Strong"/>
          <w:i/>
          <w:iCs/>
        </w:rPr>
        <w:t>Note: </w:t>
      </w:r>
      <w:r>
        <w:rPr>
          <w:rStyle w:val="Emphasis"/>
        </w:rPr>
        <w:t> The information on this web page is based on a current understanding of the Physician Payment Sunshine Act of the Patient Protection and Affordable Health Care Act of 2012. More detailed information about the Sunshine Act is available from the Centers for Medicare and Medicaid Services.</w:t>
      </w:r>
      <w:r w:rsidRPr="00A518D3">
        <w:rPr>
          <w:rFonts w:eastAsia="Times New Roman" w:cstheme="minorHAnsi"/>
          <w:b/>
          <w:bCs/>
          <w:sz w:val="28"/>
          <w:szCs w:val="28"/>
        </w:rPr>
        <w:t xml:space="preserve"> </w:t>
      </w:r>
    </w:p>
    <w:p w:rsidR="003D77A7"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Overview</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Covered Recipients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Implications for WFBMC Physicians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Voluntary Participation Encouraged for WFBMC Physicians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What Manufacturers are Required to Report</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Review, Dispute and Correction Process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Key Dates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Key Elements</w:t>
      </w:r>
    </w:p>
    <w:p w:rsidR="00F53A5E" w:rsidRPr="005F1869" w:rsidRDefault="00F53A5E" w:rsidP="00F53A5E">
      <w:pPr>
        <w:pStyle w:val="ListParagraph"/>
        <w:numPr>
          <w:ilvl w:val="0"/>
          <w:numId w:val="22"/>
        </w:numPr>
        <w:spacing w:after="0" w:line="240" w:lineRule="auto"/>
        <w:outlineLvl w:val="1"/>
        <w:rPr>
          <w:rFonts w:eastAsia="Times New Roman" w:cstheme="minorHAnsi"/>
          <w:b/>
          <w:bCs/>
          <w:color w:val="365F91" w:themeColor="accent1" w:themeShade="BF"/>
          <w:sz w:val="24"/>
          <w:szCs w:val="24"/>
        </w:rPr>
      </w:pPr>
      <w:r w:rsidRPr="005F1869">
        <w:rPr>
          <w:rFonts w:eastAsia="Times New Roman" w:cstheme="minorHAnsi"/>
          <w:b/>
          <w:bCs/>
          <w:color w:val="365F91" w:themeColor="accent1" w:themeShade="BF"/>
          <w:sz w:val="24"/>
          <w:szCs w:val="24"/>
        </w:rPr>
        <w:t>More Information</w:t>
      </w:r>
    </w:p>
    <w:p w:rsidR="00F53A5E" w:rsidRPr="00F53A5E" w:rsidRDefault="00F53A5E" w:rsidP="00F53A5E">
      <w:pPr>
        <w:pStyle w:val="ListParagraph"/>
        <w:spacing w:after="0" w:line="240" w:lineRule="auto"/>
        <w:outlineLvl w:val="1"/>
        <w:rPr>
          <w:rFonts w:eastAsia="Times New Roman" w:cstheme="minorHAnsi"/>
          <w:b/>
          <w:bCs/>
          <w:sz w:val="24"/>
          <w:szCs w:val="24"/>
        </w:rPr>
      </w:pPr>
    </w:p>
    <w:p w:rsidR="0062181E" w:rsidRDefault="00A518D3" w:rsidP="0062181E">
      <w:pPr>
        <w:spacing w:after="0" w:line="240" w:lineRule="auto"/>
        <w:outlineLvl w:val="1"/>
        <w:rPr>
          <w:rFonts w:eastAsia="Times New Roman" w:cstheme="minorHAnsi"/>
          <w:b/>
          <w:bCs/>
          <w:sz w:val="28"/>
          <w:szCs w:val="28"/>
        </w:rPr>
      </w:pPr>
      <w:r w:rsidRPr="00A518D3">
        <w:rPr>
          <w:rFonts w:eastAsia="Times New Roman" w:cstheme="minorHAnsi"/>
          <w:b/>
          <w:bCs/>
          <w:sz w:val="28"/>
          <w:szCs w:val="28"/>
        </w:rPr>
        <w:t>Overvie</w:t>
      </w:r>
      <w:r w:rsidR="0062181E">
        <w:rPr>
          <w:rFonts w:eastAsia="Times New Roman" w:cstheme="minorHAnsi"/>
          <w:b/>
          <w:bCs/>
          <w:sz w:val="28"/>
          <w:szCs w:val="28"/>
        </w:rPr>
        <w:t>w</w:t>
      </w:r>
    </w:p>
    <w:p w:rsidR="00A518D3" w:rsidRPr="00A518D3" w:rsidRDefault="00A518D3" w:rsidP="0062181E">
      <w:pPr>
        <w:spacing w:after="0" w:line="240" w:lineRule="auto"/>
        <w:outlineLvl w:val="1"/>
        <w:rPr>
          <w:rFonts w:eastAsia="Times New Roman" w:cstheme="minorHAnsi"/>
          <w:b/>
          <w:bCs/>
        </w:rPr>
      </w:pPr>
      <w:r w:rsidRPr="00A518D3">
        <w:rPr>
          <w:rFonts w:eastAsia="Times New Roman" w:cstheme="minorHAnsi"/>
        </w:rPr>
        <w:t xml:space="preserve">Beginning August 1, 2013, companies that manufacture drugs, medical devices and biologics will be required to comply with the Sunshine Act, a provision of the Affordable Care Act.  The Act requires that </w:t>
      </w:r>
      <w:r w:rsidRPr="005E0B51">
        <w:rPr>
          <w:rFonts w:eastAsia="Times New Roman" w:cstheme="minorHAnsi"/>
          <w:b/>
          <w:bCs/>
        </w:rPr>
        <w:t>detailed information about payments and other “transfers of value” worth over $10 from manufacturers to physicians (MDs and other providers; see Covered Recipients below) and teaching hospitals be made available to the public in 2014</w:t>
      </w:r>
      <w:r w:rsidRPr="00A518D3">
        <w:rPr>
          <w:rFonts w:eastAsia="Times New Roman" w:cstheme="minorHAnsi"/>
        </w:rPr>
        <w:t>.  The Act does not affect faculty members who are not physicians.</w:t>
      </w:r>
    </w:p>
    <w:p w:rsidR="004878FB" w:rsidRPr="005E0B51" w:rsidRDefault="00A518D3" w:rsidP="00A518D3">
      <w:pPr>
        <w:spacing w:before="100" w:beforeAutospacing="1" w:after="100" w:afterAutospacing="1" w:line="240" w:lineRule="auto"/>
        <w:jc w:val="both"/>
        <w:rPr>
          <w:rFonts w:eastAsia="Times New Roman" w:cstheme="minorHAnsi"/>
        </w:rPr>
      </w:pPr>
      <w:r w:rsidRPr="00A518D3">
        <w:rPr>
          <w:rFonts w:eastAsia="Times New Roman" w:cstheme="minorHAnsi"/>
        </w:rPr>
        <w:t xml:space="preserve">Starting on August 1, 2013, manufacturers will collect and begin to provide CMS information about such payments, including the amount and purpose, and CMS will post the information on a publicly accessible website </w:t>
      </w:r>
      <w:r w:rsidR="0062181E" w:rsidRPr="005E0B51">
        <w:rPr>
          <w:rFonts w:cstheme="minorHAnsi"/>
        </w:rPr>
        <w:t xml:space="preserve">now known as </w:t>
      </w:r>
      <w:r w:rsidR="0062181E" w:rsidRPr="005E0B51">
        <w:rPr>
          <w:rFonts w:cstheme="minorHAnsi"/>
          <w:b/>
        </w:rPr>
        <w:t>Open Payments</w:t>
      </w:r>
      <w:r w:rsidR="0062181E" w:rsidRPr="005E0B51">
        <w:rPr>
          <w:rFonts w:eastAsia="Times New Roman" w:cstheme="minorHAnsi"/>
        </w:rPr>
        <w:t xml:space="preserve"> </w:t>
      </w:r>
      <w:r w:rsidRPr="00A518D3">
        <w:rPr>
          <w:rFonts w:eastAsia="Times New Roman" w:cstheme="minorHAnsi"/>
        </w:rPr>
        <w:t>beginning September 30, 2014.   Thereafter, the data</w:t>
      </w:r>
      <w:r w:rsidRPr="005E0B51">
        <w:rPr>
          <w:rFonts w:eastAsia="Times New Roman" w:cstheme="minorHAnsi"/>
        </w:rPr>
        <w:t xml:space="preserve"> will cover full calendar years (January –December) and will be posted annually on June 30</w:t>
      </w:r>
      <w:r w:rsidRPr="005E0B51">
        <w:rPr>
          <w:rFonts w:eastAsia="Times New Roman" w:cstheme="minorHAnsi"/>
          <w:vertAlign w:val="superscript"/>
        </w:rPr>
        <w:t>th</w:t>
      </w:r>
      <w:r w:rsidRPr="005E0B51">
        <w:rPr>
          <w:rFonts w:eastAsia="Times New Roman" w:cstheme="minorHAnsi"/>
        </w:rPr>
        <w:t>.</w:t>
      </w:r>
    </w:p>
    <w:p w:rsidR="001700F5" w:rsidRPr="001700F5" w:rsidRDefault="001700F5" w:rsidP="001700F5">
      <w:pPr>
        <w:autoSpaceDE w:val="0"/>
        <w:autoSpaceDN w:val="0"/>
        <w:adjustRightInd w:val="0"/>
        <w:spacing w:after="80" w:line="201" w:lineRule="atLeast"/>
        <w:rPr>
          <w:rFonts w:cstheme="minorHAnsi"/>
          <w:color w:val="000000"/>
          <w:sz w:val="28"/>
          <w:szCs w:val="28"/>
        </w:rPr>
      </w:pPr>
      <w:r w:rsidRPr="001700F5">
        <w:rPr>
          <w:rFonts w:cstheme="minorHAnsi"/>
          <w:b/>
          <w:bCs/>
          <w:color w:val="000000"/>
          <w:sz w:val="28"/>
          <w:szCs w:val="28"/>
        </w:rPr>
        <w:t xml:space="preserve">Covered Recipients </w:t>
      </w:r>
    </w:p>
    <w:p w:rsidR="001700F5" w:rsidRPr="005E0B51" w:rsidRDefault="001700F5" w:rsidP="001700F5">
      <w:pPr>
        <w:autoSpaceDE w:val="0"/>
        <w:autoSpaceDN w:val="0"/>
        <w:adjustRightInd w:val="0"/>
        <w:spacing w:after="0" w:line="201" w:lineRule="atLeast"/>
        <w:rPr>
          <w:rFonts w:cstheme="minorHAnsi"/>
          <w:color w:val="000000"/>
        </w:rPr>
      </w:pPr>
      <w:r w:rsidRPr="005E0B51">
        <w:rPr>
          <w:rFonts w:cstheme="minorHAnsi"/>
          <w:color w:val="000000"/>
        </w:rPr>
        <w:t xml:space="preserve">For purposes of reporting payments, the term “Covered Recipients” refers to </w:t>
      </w:r>
      <w:r w:rsidRPr="005E0B51">
        <w:rPr>
          <w:rFonts w:cstheme="minorHAnsi"/>
          <w:i/>
          <w:iCs/>
          <w:color w:val="000000"/>
        </w:rPr>
        <w:t xml:space="preserve">physicians </w:t>
      </w:r>
      <w:r w:rsidRPr="005E0B51">
        <w:rPr>
          <w:rFonts w:cstheme="minorHAnsi"/>
          <w:color w:val="000000"/>
        </w:rPr>
        <w:t xml:space="preserve">and </w:t>
      </w:r>
      <w:r w:rsidRPr="005E0B51">
        <w:rPr>
          <w:rFonts w:cstheme="minorHAnsi"/>
          <w:i/>
          <w:iCs/>
          <w:color w:val="000000"/>
        </w:rPr>
        <w:t>teaching hospitals</w:t>
      </w:r>
      <w:r w:rsidRPr="005E0B51">
        <w:rPr>
          <w:rFonts w:cstheme="minorHAnsi"/>
          <w:color w:val="000000"/>
        </w:rPr>
        <w:t xml:space="preserve">. </w:t>
      </w:r>
    </w:p>
    <w:p w:rsidR="001700F5" w:rsidRPr="005E0B51" w:rsidRDefault="001700F5" w:rsidP="001700F5">
      <w:pPr>
        <w:autoSpaceDE w:val="0"/>
        <w:autoSpaceDN w:val="0"/>
        <w:adjustRightInd w:val="0"/>
        <w:spacing w:after="0" w:line="201" w:lineRule="atLeast"/>
        <w:rPr>
          <w:rFonts w:cstheme="minorHAnsi"/>
          <w:color w:val="000000"/>
        </w:rPr>
      </w:pPr>
      <w:r w:rsidRPr="005E0B51">
        <w:rPr>
          <w:rFonts w:cstheme="minorHAnsi"/>
          <w:color w:val="000000"/>
        </w:rPr>
        <w:t xml:space="preserve">For the purposes of this program, a “physician” is any of the following types of professionals that are legally authorized to practice: </w:t>
      </w:r>
    </w:p>
    <w:p w:rsidR="00685EE8" w:rsidRPr="005E0B51" w:rsidRDefault="001700F5" w:rsidP="00685EE8">
      <w:pPr>
        <w:numPr>
          <w:ilvl w:val="0"/>
          <w:numId w:val="6"/>
        </w:numPr>
        <w:autoSpaceDE w:val="0"/>
        <w:autoSpaceDN w:val="0"/>
        <w:adjustRightInd w:val="0"/>
        <w:spacing w:after="0" w:line="240" w:lineRule="auto"/>
        <w:rPr>
          <w:rFonts w:cstheme="minorHAnsi"/>
          <w:color w:val="000000"/>
        </w:rPr>
      </w:pPr>
      <w:r w:rsidRPr="005E0B51">
        <w:rPr>
          <w:rFonts w:cstheme="minorHAnsi"/>
          <w:color w:val="000000"/>
        </w:rPr>
        <w:t xml:space="preserve">Doctor of Medicine </w:t>
      </w:r>
      <w:r w:rsidR="00685EE8" w:rsidRPr="005E0B51">
        <w:rPr>
          <w:rFonts w:cstheme="minorHAnsi"/>
          <w:color w:val="000000"/>
        </w:rPr>
        <w:tab/>
      </w:r>
      <w:r w:rsidR="00685EE8" w:rsidRPr="005E0B51">
        <w:rPr>
          <w:rFonts w:cstheme="minorHAnsi"/>
          <w:color w:val="000000"/>
        </w:rPr>
        <w:tab/>
      </w:r>
      <w:r w:rsidR="00685EE8" w:rsidRPr="005E0B51">
        <w:rPr>
          <w:rFonts w:cstheme="minorHAnsi"/>
          <w:color w:val="000000"/>
        </w:rPr>
        <w:tab/>
      </w:r>
      <w:r w:rsidR="00685EE8" w:rsidRPr="005E0B51">
        <w:rPr>
          <w:rFonts w:cstheme="minorHAnsi"/>
          <w:color w:val="000000"/>
        </w:rPr>
        <w:tab/>
        <w:t xml:space="preserve">Doctor of Podiatry </w:t>
      </w:r>
    </w:p>
    <w:p w:rsidR="00685EE8" w:rsidRPr="005E0B51" w:rsidRDefault="001700F5" w:rsidP="00685EE8">
      <w:pPr>
        <w:numPr>
          <w:ilvl w:val="0"/>
          <w:numId w:val="6"/>
        </w:numPr>
        <w:autoSpaceDE w:val="0"/>
        <w:autoSpaceDN w:val="0"/>
        <w:adjustRightInd w:val="0"/>
        <w:spacing w:after="0" w:line="240" w:lineRule="auto"/>
        <w:rPr>
          <w:rFonts w:cstheme="minorHAnsi"/>
          <w:color w:val="000000"/>
        </w:rPr>
      </w:pPr>
      <w:r w:rsidRPr="005E0B51">
        <w:rPr>
          <w:rFonts w:cstheme="minorHAnsi"/>
          <w:color w:val="000000"/>
        </w:rPr>
        <w:t xml:space="preserve">Doctor of Osteopathy </w:t>
      </w:r>
      <w:r w:rsidR="00685EE8" w:rsidRPr="005E0B51">
        <w:rPr>
          <w:rFonts w:cstheme="minorHAnsi"/>
          <w:color w:val="000000"/>
        </w:rPr>
        <w:tab/>
      </w:r>
      <w:r w:rsidR="00685EE8" w:rsidRPr="005E0B51">
        <w:rPr>
          <w:rFonts w:cstheme="minorHAnsi"/>
          <w:color w:val="000000"/>
        </w:rPr>
        <w:tab/>
      </w:r>
      <w:r w:rsidR="00685EE8" w:rsidRPr="005E0B51">
        <w:rPr>
          <w:rFonts w:cstheme="minorHAnsi"/>
          <w:color w:val="000000"/>
        </w:rPr>
        <w:tab/>
        <w:t xml:space="preserve">Doctor of Optometry </w:t>
      </w:r>
    </w:p>
    <w:p w:rsidR="00685EE8" w:rsidRPr="005E0B51" w:rsidRDefault="001700F5" w:rsidP="00685EE8">
      <w:pPr>
        <w:numPr>
          <w:ilvl w:val="0"/>
          <w:numId w:val="6"/>
        </w:numPr>
        <w:autoSpaceDE w:val="0"/>
        <w:autoSpaceDN w:val="0"/>
        <w:adjustRightInd w:val="0"/>
        <w:spacing w:after="0" w:line="240" w:lineRule="auto"/>
        <w:rPr>
          <w:rFonts w:cstheme="minorHAnsi"/>
          <w:color w:val="000000"/>
        </w:rPr>
      </w:pPr>
      <w:r w:rsidRPr="005E0B51">
        <w:rPr>
          <w:rFonts w:cstheme="minorHAnsi"/>
          <w:color w:val="000000"/>
        </w:rPr>
        <w:t xml:space="preserve">Doctor of Dentistry </w:t>
      </w:r>
      <w:r w:rsidR="00685EE8" w:rsidRPr="005E0B51">
        <w:rPr>
          <w:rFonts w:cstheme="minorHAnsi"/>
          <w:color w:val="000000"/>
        </w:rPr>
        <w:tab/>
      </w:r>
      <w:r w:rsidR="00685EE8" w:rsidRPr="005E0B51">
        <w:rPr>
          <w:rFonts w:cstheme="minorHAnsi"/>
          <w:color w:val="000000"/>
        </w:rPr>
        <w:tab/>
      </w:r>
      <w:r w:rsidR="00685EE8" w:rsidRPr="005E0B51">
        <w:rPr>
          <w:rFonts w:cstheme="minorHAnsi"/>
          <w:color w:val="000000"/>
        </w:rPr>
        <w:tab/>
      </w:r>
      <w:r w:rsidR="00685EE8" w:rsidRPr="005E0B51">
        <w:rPr>
          <w:rFonts w:cstheme="minorHAnsi"/>
          <w:color w:val="000000"/>
        </w:rPr>
        <w:tab/>
        <w:t xml:space="preserve">Doctor of Chiropractic Medicine </w:t>
      </w:r>
    </w:p>
    <w:p w:rsidR="001700F5" w:rsidRPr="005E0B51" w:rsidRDefault="001700F5" w:rsidP="001700F5">
      <w:pPr>
        <w:numPr>
          <w:ilvl w:val="0"/>
          <w:numId w:val="6"/>
        </w:numPr>
        <w:autoSpaceDE w:val="0"/>
        <w:autoSpaceDN w:val="0"/>
        <w:adjustRightInd w:val="0"/>
        <w:spacing w:after="0" w:line="240" w:lineRule="auto"/>
        <w:rPr>
          <w:rFonts w:cstheme="minorHAnsi"/>
          <w:color w:val="000000"/>
        </w:rPr>
      </w:pPr>
      <w:r w:rsidRPr="005E0B51">
        <w:rPr>
          <w:rFonts w:cstheme="minorHAnsi"/>
          <w:color w:val="000000"/>
        </w:rPr>
        <w:t xml:space="preserve">Doctor of Dental Surgery </w:t>
      </w:r>
    </w:p>
    <w:p w:rsidR="001700F5" w:rsidRPr="005E0B51" w:rsidRDefault="001700F5" w:rsidP="001700F5">
      <w:pPr>
        <w:autoSpaceDE w:val="0"/>
        <w:autoSpaceDN w:val="0"/>
        <w:adjustRightInd w:val="0"/>
        <w:spacing w:after="0" w:line="240" w:lineRule="auto"/>
        <w:rPr>
          <w:rFonts w:cstheme="minorHAnsi"/>
          <w:color w:val="000000"/>
        </w:rPr>
      </w:pPr>
    </w:p>
    <w:p w:rsidR="001700F5" w:rsidRPr="005E0B51" w:rsidRDefault="001700F5" w:rsidP="001700F5">
      <w:pPr>
        <w:autoSpaceDE w:val="0"/>
        <w:autoSpaceDN w:val="0"/>
        <w:adjustRightInd w:val="0"/>
        <w:spacing w:after="0" w:line="201" w:lineRule="atLeast"/>
        <w:rPr>
          <w:rFonts w:cstheme="minorHAnsi"/>
          <w:b/>
          <w:color w:val="000000"/>
        </w:rPr>
      </w:pPr>
      <w:r w:rsidRPr="005E0B51">
        <w:rPr>
          <w:rFonts w:cstheme="minorHAnsi"/>
          <w:b/>
          <w:i/>
          <w:iCs/>
          <w:color w:val="000000"/>
        </w:rPr>
        <w:t xml:space="preserve">Note: Medical residents are excluded from the definition of physicians for the purpose of this program. </w:t>
      </w:r>
    </w:p>
    <w:p w:rsidR="00086A93" w:rsidRPr="005E0B51" w:rsidRDefault="00086A93" w:rsidP="001700F5">
      <w:pPr>
        <w:autoSpaceDE w:val="0"/>
        <w:autoSpaceDN w:val="0"/>
        <w:adjustRightInd w:val="0"/>
        <w:spacing w:after="80" w:line="201" w:lineRule="atLeast"/>
        <w:rPr>
          <w:rFonts w:cstheme="minorHAnsi"/>
          <w:b/>
          <w:bCs/>
          <w:color w:val="000000"/>
        </w:rPr>
      </w:pPr>
    </w:p>
    <w:p w:rsidR="00666D23" w:rsidRDefault="00666D23" w:rsidP="00FD6082">
      <w:pPr>
        <w:spacing w:after="0" w:line="240" w:lineRule="auto"/>
        <w:outlineLvl w:val="1"/>
        <w:rPr>
          <w:rFonts w:eastAsia="Times New Roman" w:cstheme="minorHAnsi"/>
          <w:b/>
          <w:bCs/>
          <w:sz w:val="28"/>
          <w:szCs w:val="28"/>
        </w:rPr>
      </w:pPr>
      <w:r w:rsidRPr="00A518D3">
        <w:rPr>
          <w:rFonts w:eastAsia="Times New Roman" w:cstheme="minorHAnsi"/>
          <w:b/>
          <w:bCs/>
          <w:sz w:val="28"/>
          <w:szCs w:val="28"/>
        </w:rPr>
        <w:t xml:space="preserve">Implications for </w:t>
      </w:r>
      <w:r>
        <w:rPr>
          <w:rFonts w:eastAsia="Times New Roman" w:cstheme="minorHAnsi"/>
          <w:b/>
          <w:bCs/>
          <w:sz w:val="28"/>
          <w:szCs w:val="28"/>
        </w:rPr>
        <w:t>WFBMC</w:t>
      </w:r>
      <w:r w:rsidRPr="00A518D3">
        <w:rPr>
          <w:rFonts w:eastAsia="Times New Roman" w:cstheme="minorHAnsi"/>
          <w:b/>
          <w:bCs/>
          <w:sz w:val="28"/>
          <w:szCs w:val="28"/>
        </w:rPr>
        <w:t xml:space="preserve"> Physicians</w:t>
      </w:r>
    </w:p>
    <w:p w:rsidR="00FD6082" w:rsidRPr="00A518D3" w:rsidRDefault="00FD6082" w:rsidP="00FD6082">
      <w:pPr>
        <w:spacing w:line="240" w:lineRule="auto"/>
        <w:outlineLvl w:val="1"/>
        <w:rPr>
          <w:rFonts w:eastAsia="Times New Roman" w:cstheme="minorHAnsi"/>
          <w:b/>
          <w:bCs/>
          <w:sz w:val="18"/>
          <w:szCs w:val="18"/>
        </w:rPr>
      </w:pPr>
      <w:r w:rsidRPr="00AB12B1">
        <w:rPr>
          <w:rFonts w:eastAsia="Times New Roman" w:cstheme="minorHAnsi"/>
          <w:b/>
          <w:bCs/>
          <w:sz w:val="18"/>
          <w:szCs w:val="18"/>
        </w:rPr>
        <w:t>(WFBMC defined as W</w:t>
      </w:r>
      <w:r w:rsidR="00AB12B1" w:rsidRPr="00AB12B1">
        <w:rPr>
          <w:rFonts w:eastAsia="Times New Roman" w:cstheme="minorHAnsi"/>
          <w:b/>
          <w:bCs/>
          <w:sz w:val="18"/>
          <w:szCs w:val="18"/>
        </w:rPr>
        <w:t xml:space="preserve">ake </w:t>
      </w:r>
      <w:r w:rsidRPr="00AB12B1">
        <w:rPr>
          <w:rFonts w:eastAsia="Times New Roman" w:cstheme="minorHAnsi"/>
          <w:b/>
          <w:bCs/>
          <w:sz w:val="18"/>
          <w:szCs w:val="18"/>
        </w:rPr>
        <w:t>F</w:t>
      </w:r>
      <w:r w:rsidR="00AB12B1" w:rsidRPr="00AB12B1">
        <w:rPr>
          <w:rFonts w:eastAsia="Times New Roman" w:cstheme="minorHAnsi"/>
          <w:b/>
          <w:bCs/>
          <w:sz w:val="18"/>
          <w:szCs w:val="18"/>
        </w:rPr>
        <w:t xml:space="preserve">orest </w:t>
      </w:r>
      <w:r w:rsidRPr="00AB12B1">
        <w:rPr>
          <w:rFonts w:eastAsia="Times New Roman" w:cstheme="minorHAnsi"/>
          <w:b/>
          <w:bCs/>
          <w:sz w:val="18"/>
          <w:szCs w:val="18"/>
        </w:rPr>
        <w:t>U</w:t>
      </w:r>
      <w:r w:rsidR="00AB12B1" w:rsidRPr="00AB12B1">
        <w:rPr>
          <w:rFonts w:eastAsia="Times New Roman" w:cstheme="minorHAnsi"/>
          <w:b/>
          <w:bCs/>
          <w:sz w:val="18"/>
          <w:szCs w:val="18"/>
        </w:rPr>
        <w:t xml:space="preserve">niversity </w:t>
      </w:r>
      <w:r w:rsidRPr="00AB12B1">
        <w:rPr>
          <w:rFonts w:eastAsia="Times New Roman" w:cstheme="minorHAnsi"/>
          <w:b/>
          <w:bCs/>
          <w:sz w:val="18"/>
          <w:szCs w:val="18"/>
        </w:rPr>
        <w:t>H</w:t>
      </w:r>
      <w:r w:rsidR="00AB12B1" w:rsidRPr="00AB12B1">
        <w:rPr>
          <w:rFonts w:eastAsia="Times New Roman" w:cstheme="minorHAnsi"/>
          <w:b/>
          <w:bCs/>
          <w:sz w:val="18"/>
          <w:szCs w:val="18"/>
        </w:rPr>
        <w:t xml:space="preserve">ealth </w:t>
      </w:r>
      <w:r w:rsidRPr="00AB12B1">
        <w:rPr>
          <w:rFonts w:eastAsia="Times New Roman" w:cstheme="minorHAnsi"/>
          <w:b/>
          <w:bCs/>
          <w:sz w:val="18"/>
          <w:szCs w:val="18"/>
        </w:rPr>
        <w:t>S</w:t>
      </w:r>
      <w:r w:rsidR="00AB12B1" w:rsidRPr="00AB12B1">
        <w:rPr>
          <w:rFonts w:eastAsia="Times New Roman" w:cstheme="minorHAnsi"/>
          <w:b/>
          <w:bCs/>
          <w:sz w:val="18"/>
          <w:szCs w:val="18"/>
        </w:rPr>
        <w:t>ciences</w:t>
      </w:r>
      <w:r w:rsidRPr="00AB12B1">
        <w:rPr>
          <w:rFonts w:eastAsia="Times New Roman" w:cstheme="minorHAnsi"/>
          <w:b/>
          <w:bCs/>
          <w:sz w:val="18"/>
          <w:szCs w:val="18"/>
        </w:rPr>
        <w:t>, N</w:t>
      </w:r>
      <w:r w:rsidR="00AB12B1" w:rsidRPr="00AB12B1">
        <w:rPr>
          <w:rFonts w:eastAsia="Times New Roman" w:cstheme="minorHAnsi"/>
          <w:b/>
          <w:bCs/>
          <w:sz w:val="18"/>
          <w:szCs w:val="18"/>
        </w:rPr>
        <w:t xml:space="preserve">orth </w:t>
      </w:r>
      <w:r w:rsidRPr="00AB12B1">
        <w:rPr>
          <w:rFonts w:eastAsia="Times New Roman" w:cstheme="minorHAnsi"/>
          <w:b/>
          <w:bCs/>
          <w:sz w:val="18"/>
          <w:szCs w:val="18"/>
        </w:rPr>
        <w:t>C</w:t>
      </w:r>
      <w:r w:rsidR="00AB12B1" w:rsidRPr="00AB12B1">
        <w:rPr>
          <w:rFonts w:eastAsia="Times New Roman" w:cstheme="minorHAnsi"/>
          <w:b/>
          <w:bCs/>
          <w:sz w:val="18"/>
          <w:szCs w:val="18"/>
        </w:rPr>
        <w:t xml:space="preserve">arolina </w:t>
      </w:r>
      <w:r w:rsidRPr="00AB12B1">
        <w:rPr>
          <w:rFonts w:eastAsia="Times New Roman" w:cstheme="minorHAnsi"/>
          <w:b/>
          <w:bCs/>
          <w:sz w:val="18"/>
          <w:szCs w:val="18"/>
        </w:rPr>
        <w:t>B</w:t>
      </w:r>
      <w:r w:rsidR="00AB12B1" w:rsidRPr="00AB12B1">
        <w:rPr>
          <w:rFonts w:eastAsia="Times New Roman" w:cstheme="minorHAnsi"/>
          <w:b/>
          <w:bCs/>
          <w:sz w:val="18"/>
          <w:szCs w:val="18"/>
        </w:rPr>
        <w:t xml:space="preserve">aptist </w:t>
      </w:r>
      <w:r w:rsidRPr="00AB12B1">
        <w:rPr>
          <w:rFonts w:eastAsia="Times New Roman" w:cstheme="minorHAnsi"/>
          <w:b/>
          <w:bCs/>
          <w:sz w:val="18"/>
          <w:szCs w:val="18"/>
        </w:rPr>
        <w:t>H</w:t>
      </w:r>
      <w:r w:rsidR="00AB12B1" w:rsidRPr="00AB12B1">
        <w:rPr>
          <w:rFonts w:eastAsia="Times New Roman" w:cstheme="minorHAnsi"/>
          <w:b/>
          <w:bCs/>
          <w:sz w:val="18"/>
          <w:szCs w:val="18"/>
        </w:rPr>
        <w:t>ospital</w:t>
      </w:r>
      <w:r w:rsidRPr="00AB12B1">
        <w:rPr>
          <w:rFonts w:eastAsia="Times New Roman" w:cstheme="minorHAnsi"/>
          <w:b/>
          <w:bCs/>
          <w:sz w:val="18"/>
          <w:szCs w:val="18"/>
        </w:rPr>
        <w:t>, and their controlled affiliates)</w:t>
      </w:r>
    </w:p>
    <w:p w:rsidR="00666D23" w:rsidRDefault="00666D23" w:rsidP="00FD6082">
      <w:pPr>
        <w:spacing w:line="240" w:lineRule="auto"/>
        <w:jc w:val="both"/>
        <w:rPr>
          <w:rFonts w:eastAsia="Times New Roman" w:cstheme="minorHAnsi"/>
        </w:rPr>
      </w:pPr>
      <w:r w:rsidRPr="00A518D3">
        <w:rPr>
          <w:rFonts w:eastAsia="Times New Roman" w:cstheme="minorHAnsi"/>
        </w:rPr>
        <w:t xml:space="preserve">Among the many implications of the Sunshine Act is that </w:t>
      </w:r>
      <w:r w:rsidRPr="00AB12B1">
        <w:rPr>
          <w:rFonts w:eastAsia="Times New Roman" w:cstheme="minorHAnsi"/>
          <w:bCs/>
        </w:rPr>
        <w:t xml:space="preserve">if, acting in a private capacity, a WFBMC physician consults, serves on a scientific advisory board, or engages in other compensated activity for manufacturers of drugs, devices or biologics, details of your income and other payments (such as travel reimbursement) from those companies and the purpose of the payment will be on a publicly accessible </w:t>
      </w:r>
      <w:r w:rsidRPr="00AB12B1">
        <w:rPr>
          <w:rFonts w:eastAsia="Times New Roman" w:cstheme="minorHAnsi"/>
          <w:bCs/>
        </w:rPr>
        <w:lastRenderedPageBreak/>
        <w:t>website</w:t>
      </w:r>
      <w:r w:rsidRPr="00A518D3">
        <w:rPr>
          <w:rFonts w:eastAsia="Times New Roman" w:cstheme="minorHAnsi"/>
        </w:rPr>
        <w:t>.  Physicians and other providers to CMS will have an opportunity to review and work with manufacturers to correct payment information and resolve disputes during a 60-day period before the information is posted.   Physicians will need to register to review the data.  </w:t>
      </w:r>
    </w:p>
    <w:p w:rsidR="00666D23" w:rsidRDefault="00666D23" w:rsidP="00666D23">
      <w:pPr>
        <w:spacing w:after="0" w:line="240" w:lineRule="auto"/>
        <w:jc w:val="both"/>
        <w:rPr>
          <w:rFonts w:eastAsia="Times New Roman" w:cstheme="minorHAnsi"/>
        </w:rPr>
      </w:pPr>
    </w:p>
    <w:p w:rsidR="00666D23" w:rsidRPr="00666D23" w:rsidRDefault="00666D23" w:rsidP="00666D23">
      <w:pPr>
        <w:spacing w:after="0" w:line="240" w:lineRule="auto"/>
        <w:jc w:val="both"/>
        <w:rPr>
          <w:rFonts w:eastAsia="Times New Roman" w:cstheme="minorHAnsi"/>
          <w:b/>
          <w:i/>
        </w:rPr>
      </w:pPr>
      <w:r w:rsidRPr="00666D23">
        <w:rPr>
          <w:rFonts w:eastAsia="Times New Roman" w:cstheme="minorHAnsi"/>
          <w:b/>
          <w:i/>
        </w:rPr>
        <w:t>Note:</w:t>
      </w:r>
      <w:r w:rsidRPr="00666D23">
        <w:rPr>
          <w:rFonts w:eastAsia="Times New Roman" w:cstheme="minorHAnsi"/>
          <w:i/>
        </w:rPr>
        <w:t xml:space="preserve">  </w:t>
      </w:r>
      <w:r w:rsidRPr="00A518D3">
        <w:rPr>
          <w:rFonts w:eastAsia="Times New Roman" w:cstheme="minorHAnsi"/>
          <w:b/>
          <w:i/>
        </w:rPr>
        <w:t xml:space="preserve">Individual physicians -- </w:t>
      </w:r>
      <w:r w:rsidRPr="00A518D3">
        <w:rPr>
          <w:rFonts w:eastAsia="Times New Roman" w:cstheme="minorHAnsi"/>
          <w:b/>
          <w:i/>
          <w:u w:val="single"/>
        </w:rPr>
        <w:t>not</w:t>
      </w:r>
      <w:r w:rsidRPr="00A518D3">
        <w:rPr>
          <w:rFonts w:eastAsia="Times New Roman" w:cstheme="minorHAnsi"/>
          <w:b/>
          <w:i/>
        </w:rPr>
        <w:t xml:space="preserve"> </w:t>
      </w:r>
      <w:r>
        <w:rPr>
          <w:rFonts w:eastAsia="Times New Roman" w:cstheme="minorHAnsi"/>
          <w:b/>
          <w:i/>
        </w:rPr>
        <w:t>Wake Forest Baptist Medical Center</w:t>
      </w:r>
      <w:r w:rsidRPr="00A518D3">
        <w:rPr>
          <w:rFonts w:eastAsia="Times New Roman" w:cstheme="minorHAnsi"/>
          <w:b/>
          <w:i/>
        </w:rPr>
        <w:t>-- will be responsible for contacting manufacturers to address any discrepancies</w:t>
      </w:r>
      <w:r w:rsidR="00AB12B1">
        <w:rPr>
          <w:rFonts w:eastAsia="Times New Roman" w:cstheme="minorHAnsi"/>
          <w:b/>
          <w:i/>
        </w:rPr>
        <w:t xml:space="preserve"> reported</w:t>
      </w:r>
      <w:r w:rsidRPr="00A518D3">
        <w:rPr>
          <w:rFonts w:eastAsia="Times New Roman" w:cstheme="minorHAnsi"/>
          <w:b/>
          <w:i/>
        </w:rPr>
        <w:t>.</w:t>
      </w:r>
    </w:p>
    <w:p w:rsidR="00666D23" w:rsidRPr="00666D23" w:rsidRDefault="00666D23" w:rsidP="00666D23">
      <w:pPr>
        <w:spacing w:before="100" w:beforeAutospacing="1" w:after="100" w:afterAutospacing="1" w:line="240" w:lineRule="auto"/>
        <w:jc w:val="both"/>
        <w:rPr>
          <w:rFonts w:eastAsia="Times New Roman" w:cstheme="minorHAnsi"/>
        </w:rPr>
      </w:pPr>
      <w:r w:rsidRPr="00666D23">
        <w:rPr>
          <w:rFonts w:eastAsia="Times New Roman" w:cstheme="minorHAnsi"/>
          <w:bCs/>
        </w:rPr>
        <w:t>Individuals who are not comfortable with public disclosure of their consulting relationships and income may wish to terminate consulting activity before August 1, 2013 and ensure that they do not receive payments on or after August 1, 2013.</w:t>
      </w:r>
      <w:r w:rsidRPr="00A518D3">
        <w:rPr>
          <w:rFonts w:eastAsia="Times New Roman" w:cstheme="minorHAnsi"/>
        </w:rPr>
        <w:t xml:space="preserve">  </w:t>
      </w:r>
    </w:p>
    <w:p w:rsidR="00BC138F" w:rsidRPr="000C12C4" w:rsidRDefault="00BC138F" w:rsidP="00BC138F">
      <w:pPr>
        <w:pStyle w:val="Pa3"/>
        <w:spacing w:after="80"/>
        <w:rPr>
          <w:rFonts w:asciiTheme="minorHAnsi" w:hAnsiTheme="minorHAnsi" w:cstheme="minorHAnsi"/>
          <w:color w:val="000000"/>
          <w:sz w:val="28"/>
          <w:szCs w:val="28"/>
        </w:rPr>
      </w:pPr>
      <w:r w:rsidRPr="000C12C4">
        <w:rPr>
          <w:rFonts w:asciiTheme="minorHAnsi" w:hAnsiTheme="minorHAnsi" w:cstheme="minorHAnsi"/>
          <w:b/>
          <w:bCs/>
          <w:color w:val="000000"/>
          <w:sz w:val="28"/>
          <w:szCs w:val="28"/>
        </w:rPr>
        <w:t xml:space="preserve">Voluntary Participation </w:t>
      </w:r>
      <w:r>
        <w:rPr>
          <w:rFonts w:asciiTheme="minorHAnsi" w:hAnsiTheme="minorHAnsi" w:cstheme="minorHAnsi"/>
          <w:b/>
          <w:bCs/>
          <w:color w:val="000000"/>
          <w:sz w:val="28"/>
          <w:szCs w:val="28"/>
        </w:rPr>
        <w:t>Encouraged</w:t>
      </w:r>
      <w:r w:rsidR="00904752">
        <w:rPr>
          <w:rFonts w:asciiTheme="minorHAnsi" w:hAnsiTheme="minorHAnsi" w:cstheme="minorHAnsi"/>
          <w:b/>
          <w:bCs/>
          <w:color w:val="000000"/>
          <w:sz w:val="28"/>
          <w:szCs w:val="28"/>
        </w:rPr>
        <w:t xml:space="preserve"> for WFBMC </w:t>
      </w:r>
      <w:r w:rsidR="00904752" w:rsidRPr="000C12C4">
        <w:rPr>
          <w:rFonts w:asciiTheme="minorHAnsi" w:hAnsiTheme="minorHAnsi" w:cstheme="minorHAnsi"/>
          <w:b/>
          <w:bCs/>
          <w:color w:val="000000"/>
          <w:sz w:val="28"/>
          <w:szCs w:val="28"/>
        </w:rPr>
        <w:t>Physicians</w:t>
      </w:r>
    </w:p>
    <w:p w:rsidR="00BC138F" w:rsidRPr="005E0B51" w:rsidRDefault="00BC138F" w:rsidP="00BC138F">
      <w:pPr>
        <w:pStyle w:val="Pa2"/>
        <w:rPr>
          <w:rFonts w:asciiTheme="minorHAnsi" w:hAnsiTheme="minorHAnsi" w:cstheme="minorHAnsi"/>
          <w:color w:val="000000"/>
          <w:sz w:val="22"/>
          <w:szCs w:val="22"/>
        </w:rPr>
      </w:pPr>
      <w:r w:rsidRPr="005E0B51">
        <w:rPr>
          <w:rFonts w:asciiTheme="minorHAnsi" w:hAnsiTheme="minorHAnsi" w:cstheme="minorHAnsi"/>
          <w:color w:val="000000"/>
          <w:sz w:val="22"/>
          <w:szCs w:val="22"/>
        </w:rPr>
        <w:t xml:space="preserve">Physicians are not required to register with or send any information to </w:t>
      </w:r>
      <w:r w:rsidRPr="00E24399">
        <w:rPr>
          <w:rFonts w:asciiTheme="minorHAnsi" w:hAnsiTheme="minorHAnsi" w:cstheme="minorHAnsi"/>
          <w:b/>
          <w:color w:val="000000"/>
          <w:sz w:val="22"/>
          <w:szCs w:val="22"/>
        </w:rPr>
        <w:t>Open Payments</w:t>
      </w:r>
      <w:r w:rsidRPr="005E0B51">
        <w:rPr>
          <w:rFonts w:asciiTheme="minorHAnsi" w:hAnsiTheme="minorHAnsi" w:cstheme="minorHAnsi"/>
          <w:color w:val="000000"/>
          <w:sz w:val="22"/>
          <w:szCs w:val="22"/>
        </w:rPr>
        <w:t xml:space="preserve">. However, we </w:t>
      </w:r>
      <w:r w:rsidRPr="005E0B51">
        <w:rPr>
          <w:rFonts w:asciiTheme="minorHAnsi" w:hAnsiTheme="minorHAnsi" w:cstheme="minorHAnsi"/>
          <w:b/>
          <w:bCs/>
          <w:color w:val="000000"/>
          <w:sz w:val="22"/>
          <w:szCs w:val="22"/>
        </w:rPr>
        <w:t xml:space="preserve">encourage </w:t>
      </w:r>
      <w:r w:rsidRPr="005E0B51">
        <w:rPr>
          <w:rFonts w:asciiTheme="minorHAnsi" w:hAnsiTheme="minorHAnsi" w:cstheme="minorHAnsi"/>
          <w:color w:val="000000"/>
          <w:sz w:val="22"/>
          <w:szCs w:val="22"/>
        </w:rPr>
        <w:t xml:space="preserve">physicians to: </w:t>
      </w:r>
    </w:p>
    <w:p w:rsidR="00BC138F" w:rsidRPr="005E0B51" w:rsidRDefault="00BC138F" w:rsidP="00BC138F">
      <w:pPr>
        <w:pStyle w:val="Default"/>
        <w:numPr>
          <w:ilvl w:val="0"/>
          <w:numId w:val="14"/>
        </w:numPr>
        <w:ind w:left="360"/>
        <w:rPr>
          <w:rFonts w:asciiTheme="minorHAnsi" w:hAnsiTheme="minorHAnsi" w:cstheme="minorHAnsi"/>
          <w:sz w:val="22"/>
          <w:szCs w:val="22"/>
        </w:rPr>
      </w:pPr>
      <w:r w:rsidRPr="005E0B51">
        <w:rPr>
          <w:rFonts w:asciiTheme="minorHAnsi" w:hAnsiTheme="minorHAnsi" w:cstheme="minorHAnsi"/>
          <w:sz w:val="22"/>
          <w:szCs w:val="22"/>
        </w:rPr>
        <w:t xml:space="preserve">Become familiar with the information that will be reported about healthcare providers. </w:t>
      </w:r>
    </w:p>
    <w:p w:rsidR="00BC138F" w:rsidRPr="005E0B51" w:rsidRDefault="00BC138F" w:rsidP="00BC138F">
      <w:pPr>
        <w:numPr>
          <w:ilvl w:val="0"/>
          <w:numId w:val="14"/>
        </w:numPr>
        <w:autoSpaceDE w:val="0"/>
        <w:autoSpaceDN w:val="0"/>
        <w:adjustRightInd w:val="0"/>
        <w:spacing w:after="0" w:line="240" w:lineRule="auto"/>
        <w:ind w:left="360"/>
        <w:rPr>
          <w:rFonts w:cstheme="minorHAnsi"/>
          <w:color w:val="000000"/>
        </w:rPr>
      </w:pPr>
      <w:r w:rsidRPr="005E0B51">
        <w:rPr>
          <w:rFonts w:cstheme="minorHAnsi"/>
          <w:color w:val="000000"/>
        </w:rPr>
        <w:t xml:space="preserve">Keep records of all payments and other transfers of value received from applicable manufacturers or applicable GPOs. </w:t>
      </w:r>
    </w:p>
    <w:p w:rsidR="00BC138F" w:rsidRPr="005E0B51" w:rsidRDefault="00BC138F" w:rsidP="00BC138F">
      <w:pPr>
        <w:numPr>
          <w:ilvl w:val="0"/>
          <w:numId w:val="14"/>
        </w:numPr>
        <w:autoSpaceDE w:val="0"/>
        <w:autoSpaceDN w:val="0"/>
        <w:adjustRightInd w:val="0"/>
        <w:spacing w:after="0" w:line="240" w:lineRule="auto"/>
        <w:ind w:left="360"/>
        <w:rPr>
          <w:rFonts w:cstheme="minorHAnsi"/>
          <w:color w:val="000000"/>
        </w:rPr>
      </w:pPr>
      <w:r w:rsidRPr="005E0B51">
        <w:rPr>
          <w:rFonts w:cstheme="minorHAnsi"/>
          <w:color w:val="000000"/>
        </w:rPr>
        <w:t xml:space="preserve">Register with CMS early in 2014 and subscribe to the </w:t>
      </w:r>
      <w:proofErr w:type="spellStart"/>
      <w:r w:rsidRPr="005E0B51">
        <w:rPr>
          <w:rFonts w:cstheme="minorHAnsi"/>
          <w:color w:val="000000"/>
        </w:rPr>
        <w:t>listserve</w:t>
      </w:r>
      <w:proofErr w:type="spellEnd"/>
      <w:r w:rsidRPr="005E0B51">
        <w:rPr>
          <w:rFonts w:cstheme="minorHAnsi"/>
          <w:color w:val="000000"/>
        </w:rPr>
        <w:t xml:space="preserve"> to receive updates regarding the program. </w:t>
      </w:r>
    </w:p>
    <w:p w:rsidR="00BC138F" w:rsidRPr="005E0B51" w:rsidRDefault="00BC138F" w:rsidP="00BC138F">
      <w:pPr>
        <w:numPr>
          <w:ilvl w:val="0"/>
          <w:numId w:val="14"/>
        </w:numPr>
        <w:autoSpaceDE w:val="0"/>
        <w:autoSpaceDN w:val="0"/>
        <w:adjustRightInd w:val="0"/>
        <w:spacing w:after="0" w:line="240" w:lineRule="auto"/>
        <w:ind w:left="360"/>
        <w:rPr>
          <w:rFonts w:cstheme="minorHAnsi"/>
          <w:color w:val="000000"/>
        </w:rPr>
      </w:pPr>
      <w:r w:rsidRPr="005E0B51">
        <w:rPr>
          <w:rFonts w:cstheme="minorHAnsi"/>
          <w:color w:val="000000"/>
        </w:rPr>
        <w:t xml:space="preserve">Look at the payments reported by applicable manufacturers and applicable GPOs. </w:t>
      </w:r>
    </w:p>
    <w:p w:rsidR="00BC138F" w:rsidRPr="005E0B51" w:rsidRDefault="00BC138F" w:rsidP="00BC138F">
      <w:pPr>
        <w:numPr>
          <w:ilvl w:val="0"/>
          <w:numId w:val="14"/>
        </w:numPr>
        <w:autoSpaceDE w:val="0"/>
        <w:autoSpaceDN w:val="0"/>
        <w:adjustRightInd w:val="0"/>
        <w:spacing w:after="0" w:line="240" w:lineRule="auto"/>
        <w:ind w:left="360"/>
        <w:rPr>
          <w:rFonts w:cstheme="minorHAnsi"/>
          <w:color w:val="000000"/>
        </w:rPr>
      </w:pPr>
      <w:r w:rsidRPr="005E0B51">
        <w:rPr>
          <w:rFonts w:cstheme="minorHAnsi"/>
          <w:color w:val="000000"/>
        </w:rPr>
        <w:t>Work with reporting manufacturers and GPOs to ensure correct reported payments.</w:t>
      </w:r>
    </w:p>
    <w:p w:rsidR="00571ACF" w:rsidRPr="005E0B51" w:rsidRDefault="00571ACF" w:rsidP="001700F5">
      <w:pPr>
        <w:autoSpaceDE w:val="0"/>
        <w:autoSpaceDN w:val="0"/>
        <w:adjustRightInd w:val="0"/>
        <w:spacing w:after="80" w:line="201" w:lineRule="atLeast"/>
        <w:rPr>
          <w:rFonts w:cstheme="minorHAnsi"/>
          <w:b/>
          <w:bCs/>
          <w:color w:val="000000"/>
        </w:rPr>
      </w:pPr>
    </w:p>
    <w:p w:rsidR="001700F5" w:rsidRPr="001700F5" w:rsidRDefault="00206CB1" w:rsidP="001700F5">
      <w:pPr>
        <w:autoSpaceDE w:val="0"/>
        <w:autoSpaceDN w:val="0"/>
        <w:adjustRightInd w:val="0"/>
        <w:spacing w:after="80" w:line="201" w:lineRule="atLeast"/>
        <w:rPr>
          <w:rFonts w:cstheme="minorHAnsi"/>
          <w:color w:val="000000"/>
          <w:sz w:val="28"/>
          <w:szCs w:val="28"/>
        </w:rPr>
      </w:pPr>
      <w:r>
        <w:rPr>
          <w:rFonts w:cstheme="minorHAnsi"/>
          <w:b/>
          <w:bCs/>
          <w:color w:val="000000"/>
          <w:sz w:val="28"/>
          <w:szCs w:val="28"/>
        </w:rPr>
        <w:t xml:space="preserve">What </w:t>
      </w:r>
      <w:r w:rsidR="001700F5" w:rsidRPr="001700F5">
        <w:rPr>
          <w:rFonts w:cstheme="minorHAnsi"/>
          <w:b/>
          <w:bCs/>
          <w:color w:val="000000"/>
          <w:sz w:val="28"/>
          <w:szCs w:val="28"/>
        </w:rPr>
        <w:t>Manufacturers are Required to Report</w:t>
      </w:r>
    </w:p>
    <w:p w:rsidR="001700F5" w:rsidRPr="00206CB1" w:rsidRDefault="001700F5" w:rsidP="001700F5">
      <w:pPr>
        <w:autoSpaceDE w:val="0"/>
        <w:autoSpaceDN w:val="0"/>
        <w:adjustRightInd w:val="0"/>
        <w:spacing w:after="0" w:line="201" w:lineRule="atLeast"/>
        <w:rPr>
          <w:rFonts w:cstheme="minorHAnsi"/>
          <w:color w:val="000000"/>
        </w:rPr>
      </w:pPr>
      <w:r w:rsidRPr="00206CB1">
        <w:rPr>
          <w:rFonts w:cstheme="minorHAnsi"/>
          <w:color w:val="000000"/>
        </w:rPr>
        <w:t xml:space="preserve">Applicable manufacturers of at least one covered drug, device, biological, or medical supply </w:t>
      </w:r>
      <w:r w:rsidRPr="00206CB1">
        <w:rPr>
          <w:rFonts w:cstheme="minorHAnsi"/>
          <w:b/>
          <w:bCs/>
          <w:color w:val="000000"/>
        </w:rPr>
        <w:t xml:space="preserve">must </w:t>
      </w:r>
      <w:r w:rsidRPr="00206CB1">
        <w:rPr>
          <w:rFonts w:cstheme="minorHAnsi"/>
          <w:color w:val="000000"/>
        </w:rPr>
        <w:t xml:space="preserve">report </w:t>
      </w:r>
      <w:r w:rsidRPr="00206CB1">
        <w:rPr>
          <w:rFonts w:cstheme="minorHAnsi"/>
          <w:b/>
          <w:bCs/>
          <w:color w:val="000000"/>
        </w:rPr>
        <w:t xml:space="preserve">all </w:t>
      </w:r>
      <w:r w:rsidRPr="00206CB1">
        <w:rPr>
          <w:rFonts w:cstheme="minorHAnsi"/>
          <w:color w:val="000000"/>
        </w:rPr>
        <w:t>payments or other transfers of value provided to covered recipients, regardless of whether any particular payment or other transfer of value was related to a covered drug, device, biological, or medi</w:t>
      </w:r>
      <w:r w:rsidRPr="00206CB1">
        <w:rPr>
          <w:rFonts w:cstheme="minorHAnsi"/>
          <w:color w:val="000000"/>
        </w:rPr>
        <w:softHyphen/>
        <w:t xml:space="preserve">cal supply. Applicable manufacturers will be required to categorize all reportable payments as falling within one of the following natures of payment: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Consulting fees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Compensation for services other than consulting, including serving as faculty or as a speaker at an event other than a continuing education program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Honoraria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Gifts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Entertainment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Food and beverage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Travel and lodging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Education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Research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Charitable contributions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Royalty or license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Current or prospective ownership or investment interest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Compensation for serving as faculty or as a speaker for an unaccredited and </w:t>
      </w:r>
      <w:r w:rsidRPr="00206CB1">
        <w:rPr>
          <w:rFonts w:cstheme="minorHAnsi"/>
          <w:color w:val="000000"/>
          <w:u w:val="single"/>
        </w:rPr>
        <w:t>non-certified</w:t>
      </w:r>
      <w:r w:rsidRPr="00206CB1">
        <w:rPr>
          <w:rFonts w:cstheme="minorHAnsi"/>
          <w:color w:val="000000"/>
        </w:rPr>
        <w:t xml:space="preserve"> continu</w:t>
      </w:r>
      <w:r w:rsidRPr="00206CB1">
        <w:rPr>
          <w:rFonts w:cstheme="minorHAnsi"/>
          <w:color w:val="000000"/>
        </w:rPr>
        <w:softHyphen/>
        <w:t xml:space="preserve">ing education program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Compensation for serving as faculty or as a speaker for an accredited or </w:t>
      </w:r>
      <w:r w:rsidRPr="00206CB1">
        <w:rPr>
          <w:rFonts w:cstheme="minorHAnsi"/>
          <w:color w:val="000000"/>
          <w:u w:val="single"/>
        </w:rPr>
        <w:t>certified</w:t>
      </w:r>
      <w:r w:rsidRPr="00206CB1">
        <w:rPr>
          <w:rFonts w:cstheme="minorHAnsi"/>
          <w:color w:val="000000"/>
        </w:rPr>
        <w:t xml:space="preserve"> continuing educa</w:t>
      </w:r>
      <w:r w:rsidRPr="00206CB1">
        <w:rPr>
          <w:rFonts w:cstheme="minorHAnsi"/>
          <w:color w:val="000000"/>
        </w:rPr>
        <w:softHyphen/>
        <w:t xml:space="preserve">tion program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Grants </w:t>
      </w:r>
    </w:p>
    <w:p w:rsidR="001700F5" w:rsidRPr="00206CB1" w:rsidRDefault="001700F5" w:rsidP="009305BF">
      <w:pPr>
        <w:numPr>
          <w:ilvl w:val="0"/>
          <w:numId w:val="15"/>
        </w:numPr>
        <w:autoSpaceDE w:val="0"/>
        <w:autoSpaceDN w:val="0"/>
        <w:adjustRightInd w:val="0"/>
        <w:spacing w:after="0" w:line="240" w:lineRule="auto"/>
        <w:rPr>
          <w:rFonts w:cstheme="minorHAnsi"/>
          <w:color w:val="000000"/>
        </w:rPr>
      </w:pPr>
      <w:r w:rsidRPr="00206CB1">
        <w:rPr>
          <w:rFonts w:cstheme="minorHAnsi"/>
          <w:color w:val="000000"/>
        </w:rPr>
        <w:t xml:space="preserve">Space rental or facility fees (teaching hospital only) </w:t>
      </w:r>
    </w:p>
    <w:p w:rsidR="001700F5" w:rsidRPr="00206CB1" w:rsidRDefault="001700F5" w:rsidP="001700F5">
      <w:pPr>
        <w:autoSpaceDE w:val="0"/>
        <w:autoSpaceDN w:val="0"/>
        <w:adjustRightInd w:val="0"/>
        <w:spacing w:after="0" w:line="240" w:lineRule="auto"/>
        <w:rPr>
          <w:rFonts w:cstheme="minorHAnsi"/>
          <w:color w:val="000000"/>
        </w:rPr>
      </w:pPr>
    </w:p>
    <w:p w:rsidR="001700F5" w:rsidRPr="00206CB1" w:rsidRDefault="001700F5" w:rsidP="001700F5">
      <w:pPr>
        <w:autoSpaceDE w:val="0"/>
        <w:autoSpaceDN w:val="0"/>
        <w:adjustRightInd w:val="0"/>
        <w:spacing w:after="0" w:line="201" w:lineRule="atLeast"/>
        <w:rPr>
          <w:rFonts w:cstheme="minorHAnsi"/>
          <w:color w:val="000000"/>
        </w:rPr>
      </w:pPr>
      <w:r w:rsidRPr="00206CB1">
        <w:rPr>
          <w:rFonts w:cstheme="minorHAnsi"/>
          <w:color w:val="000000"/>
        </w:rPr>
        <w:lastRenderedPageBreak/>
        <w:t xml:space="preserve">Applicable manufacturers </w:t>
      </w:r>
      <w:r w:rsidR="00571ACF" w:rsidRPr="00206CB1">
        <w:rPr>
          <w:rFonts w:cstheme="minorHAnsi"/>
          <w:color w:val="000000"/>
        </w:rPr>
        <w:t xml:space="preserve">and applicable GPOs </w:t>
      </w:r>
      <w:r w:rsidRPr="00206CB1">
        <w:rPr>
          <w:rFonts w:cstheme="minorHAnsi"/>
          <w:color w:val="000000"/>
        </w:rPr>
        <w:t xml:space="preserve">must also report ownership and investment interests held by physicians or their immediate family members. </w:t>
      </w:r>
    </w:p>
    <w:p w:rsidR="00CE10FB" w:rsidRPr="001700F5" w:rsidRDefault="00CE10FB" w:rsidP="001700F5">
      <w:pPr>
        <w:autoSpaceDE w:val="0"/>
        <w:autoSpaceDN w:val="0"/>
        <w:adjustRightInd w:val="0"/>
        <w:spacing w:after="0" w:line="201" w:lineRule="atLeast"/>
        <w:rPr>
          <w:rFonts w:cstheme="minorHAnsi"/>
          <w:color w:val="000000"/>
          <w:sz w:val="24"/>
          <w:szCs w:val="24"/>
        </w:rPr>
      </w:pPr>
    </w:p>
    <w:p w:rsidR="001700F5" w:rsidRPr="001700F5" w:rsidRDefault="001700F5" w:rsidP="001700F5">
      <w:pPr>
        <w:autoSpaceDE w:val="0"/>
        <w:autoSpaceDN w:val="0"/>
        <w:adjustRightInd w:val="0"/>
        <w:spacing w:after="80" w:line="201" w:lineRule="atLeast"/>
        <w:rPr>
          <w:rFonts w:cstheme="minorHAnsi"/>
          <w:color w:val="000000"/>
          <w:sz w:val="28"/>
          <w:szCs w:val="28"/>
        </w:rPr>
      </w:pPr>
      <w:r w:rsidRPr="001700F5">
        <w:rPr>
          <w:rFonts w:cstheme="minorHAnsi"/>
          <w:b/>
          <w:bCs/>
          <w:color w:val="000000"/>
          <w:sz w:val="28"/>
          <w:szCs w:val="28"/>
        </w:rPr>
        <w:t xml:space="preserve">Review, Dispute and Correction Process </w:t>
      </w:r>
    </w:p>
    <w:p w:rsidR="001700F5" w:rsidRPr="00206CB1" w:rsidRDefault="001700F5" w:rsidP="001700F5">
      <w:pPr>
        <w:autoSpaceDE w:val="0"/>
        <w:autoSpaceDN w:val="0"/>
        <w:adjustRightInd w:val="0"/>
        <w:spacing w:after="0" w:line="201" w:lineRule="atLeast"/>
        <w:rPr>
          <w:rFonts w:cstheme="minorHAnsi"/>
          <w:color w:val="000000"/>
        </w:rPr>
      </w:pPr>
      <w:r w:rsidRPr="00206CB1">
        <w:rPr>
          <w:rFonts w:cstheme="minorHAnsi"/>
          <w:color w:val="000000"/>
        </w:rPr>
        <w:t>Physicians, teaching hospitals, and physician owners/investors have the opportunity to review and work with the applicable manufacturers and applicable GPOs to make any necessary corrections to the infor</w:t>
      </w:r>
      <w:r w:rsidRPr="00206CB1">
        <w:rPr>
          <w:rFonts w:cstheme="minorHAnsi"/>
          <w:color w:val="000000"/>
        </w:rPr>
        <w:softHyphen/>
        <w:t xml:space="preserve">mation before we make it public. </w:t>
      </w:r>
    </w:p>
    <w:p w:rsidR="000421FD" w:rsidRPr="00206CB1" w:rsidRDefault="000421FD" w:rsidP="001700F5">
      <w:pPr>
        <w:autoSpaceDE w:val="0"/>
        <w:autoSpaceDN w:val="0"/>
        <w:adjustRightInd w:val="0"/>
        <w:spacing w:after="0" w:line="201" w:lineRule="atLeast"/>
        <w:rPr>
          <w:rFonts w:cstheme="minorHAnsi"/>
          <w:color w:val="000000"/>
        </w:rPr>
      </w:pPr>
    </w:p>
    <w:p w:rsidR="001700F5" w:rsidRPr="00206CB1" w:rsidRDefault="001700F5" w:rsidP="001700F5">
      <w:pPr>
        <w:autoSpaceDE w:val="0"/>
        <w:autoSpaceDN w:val="0"/>
        <w:adjustRightInd w:val="0"/>
        <w:spacing w:after="0" w:line="201" w:lineRule="atLeast"/>
        <w:rPr>
          <w:rFonts w:cstheme="minorHAnsi"/>
          <w:color w:val="000000"/>
        </w:rPr>
      </w:pPr>
      <w:r w:rsidRPr="00206CB1">
        <w:rPr>
          <w:rFonts w:cstheme="minorHAnsi"/>
          <w:color w:val="000000"/>
        </w:rPr>
        <w:t xml:space="preserve">Once the applicable manufacturer or applicable GPO has submitted the data file to CMS, the process is as follows: </w:t>
      </w:r>
    </w:p>
    <w:p w:rsidR="001700F5" w:rsidRPr="00206CB1" w:rsidRDefault="001700F5" w:rsidP="00CE10FB">
      <w:pPr>
        <w:pStyle w:val="ListParagraph"/>
        <w:numPr>
          <w:ilvl w:val="0"/>
          <w:numId w:val="16"/>
        </w:numPr>
        <w:autoSpaceDE w:val="0"/>
        <w:autoSpaceDN w:val="0"/>
        <w:adjustRightInd w:val="0"/>
        <w:spacing w:after="0" w:line="240" w:lineRule="auto"/>
        <w:rPr>
          <w:rFonts w:cstheme="minorHAnsi"/>
          <w:color w:val="000000"/>
        </w:rPr>
      </w:pPr>
      <w:r w:rsidRPr="00206CB1">
        <w:rPr>
          <w:rFonts w:cstheme="minorHAnsi"/>
          <w:color w:val="000000"/>
        </w:rPr>
        <w:t>CMS will give physicians and physician owners/investors 45 days to review and work with the appli</w:t>
      </w:r>
      <w:r w:rsidRPr="00206CB1">
        <w:rPr>
          <w:rFonts w:cstheme="minorHAnsi"/>
          <w:color w:val="000000"/>
        </w:rPr>
        <w:softHyphen/>
        <w:t xml:space="preserve">cable manufacturers or applicable GPOs to correct the information. After those 45 days, applicable manufacturers or applicable GPOs will have an additional 15 days to submit corrections based on any disputes identified by physicians, and physician owners/investors. The review and correction period starts at least 60 days before the information is made public. </w:t>
      </w:r>
    </w:p>
    <w:p w:rsidR="001700F5" w:rsidRPr="00206CB1" w:rsidRDefault="001700F5" w:rsidP="00CE10FB">
      <w:pPr>
        <w:pStyle w:val="ListParagraph"/>
        <w:numPr>
          <w:ilvl w:val="0"/>
          <w:numId w:val="16"/>
        </w:numPr>
        <w:autoSpaceDE w:val="0"/>
        <w:autoSpaceDN w:val="0"/>
        <w:adjustRightInd w:val="0"/>
        <w:spacing w:after="0" w:line="240" w:lineRule="auto"/>
        <w:rPr>
          <w:rFonts w:cstheme="minorHAnsi"/>
          <w:color w:val="000000"/>
        </w:rPr>
      </w:pPr>
      <w:r w:rsidRPr="00206CB1">
        <w:rPr>
          <w:rFonts w:cstheme="minorHAnsi"/>
          <w:color w:val="000000"/>
        </w:rPr>
        <w:t xml:space="preserve">During the review and correction period, physicians and physician owners/investors can dispute information about them that they do not think is correct. </w:t>
      </w:r>
    </w:p>
    <w:p w:rsidR="001700F5" w:rsidRPr="00206CB1" w:rsidRDefault="001700F5" w:rsidP="00CE10FB">
      <w:pPr>
        <w:pStyle w:val="ListParagraph"/>
        <w:numPr>
          <w:ilvl w:val="0"/>
          <w:numId w:val="16"/>
        </w:numPr>
        <w:autoSpaceDE w:val="0"/>
        <w:autoSpaceDN w:val="0"/>
        <w:adjustRightInd w:val="0"/>
        <w:spacing w:after="0" w:line="240" w:lineRule="auto"/>
        <w:rPr>
          <w:rFonts w:cstheme="minorHAnsi"/>
          <w:color w:val="000000"/>
        </w:rPr>
      </w:pPr>
      <w:r w:rsidRPr="00206CB1">
        <w:rPr>
          <w:rFonts w:cstheme="minorHAnsi"/>
          <w:color w:val="000000"/>
        </w:rPr>
        <w:t xml:space="preserve">If data is disputed, CMS will notify the applicable manufacturers or applicable GPOs that some of their data has been disputed, but will not mediate the dispute directly. Applicable manufacturers or applicable GPOs should work with physician and physician owner/investor to correct the information. </w:t>
      </w:r>
    </w:p>
    <w:p w:rsidR="001700F5" w:rsidRPr="00206CB1" w:rsidRDefault="001700F5" w:rsidP="00CE10FB">
      <w:pPr>
        <w:pStyle w:val="ListParagraph"/>
        <w:numPr>
          <w:ilvl w:val="0"/>
          <w:numId w:val="16"/>
        </w:numPr>
        <w:autoSpaceDE w:val="0"/>
        <w:autoSpaceDN w:val="0"/>
        <w:adjustRightInd w:val="0"/>
        <w:spacing w:after="0" w:line="240" w:lineRule="auto"/>
        <w:rPr>
          <w:rFonts w:cstheme="minorHAnsi"/>
          <w:color w:val="000000"/>
        </w:rPr>
      </w:pPr>
      <w:r w:rsidRPr="00206CB1">
        <w:rPr>
          <w:rFonts w:cstheme="minorHAnsi"/>
          <w:color w:val="000000"/>
        </w:rPr>
        <w:t xml:space="preserve">Once the dispute is resolved, the applicable manufacturers or applicable GPOs must send CMS a revised report for the correct data and re-attest that it is correct. </w:t>
      </w:r>
    </w:p>
    <w:p w:rsidR="001700F5" w:rsidRPr="00206CB1" w:rsidRDefault="001700F5" w:rsidP="00CE10FB">
      <w:pPr>
        <w:pStyle w:val="ListParagraph"/>
        <w:numPr>
          <w:ilvl w:val="0"/>
          <w:numId w:val="16"/>
        </w:numPr>
        <w:autoSpaceDE w:val="0"/>
        <w:autoSpaceDN w:val="0"/>
        <w:adjustRightInd w:val="0"/>
        <w:spacing w:after="0" w:line="240" w:lineRule="auto"/>
        <w:rPr>
          <w:rFonts w:cstheme="minorHAnsi"/>
          <w:color w:val="000000"/>
        </w:rPr>
      </w:pPr>
      <w:r w:rsidRPr="00206CB1">
        <w:rPr>
          <w:rFonts w:cstheme="minorHAnsi"/>
          <w:color w:val="000000"/>
        </w:rPr>
        <w:t xml:space="preserve">If the applicable manufacturer or applicable GPO cannot resolve the dispute with the physician or physician owner/investor and correct the data in the initial 45 days or subsequent 15 days, they should continue trying to find a resolution. </w:t>
      </w:r>
    </w:p>
    <w:p w:rsidR="001700F5" w:rsidRPr="00206CB1" w:rsidRDefault="001700F5" w:rsidP="001700F5">
      <w:pPr>
        <w:autoSpaceDE w:val="0"/>
        <w:autoSpaceDN w:val="0"/>
        <w:adjustRightInd w:val="0"/>
        <w:spacing w:after="0" w:line="240" w:lineRule="auto"/>
        <w:rPr>
          <w:rFonts w:cstheme="minorHAnsi"/>
          <w:color w:val="000000"/>
        </w:rPr>
      </w:pPr>
    </w:p>
    <w:p w:rsidR="001700F5" w:rsidRPr="00206CB1" w:rsidRDefault="001700F5" w:rsidP="000421FD">
      <w:pPr>
        <w:autoSpaceDE w:val="0"/>
        <w:autoSpaceDN w:val="0"/>
        <w:adjustRightInd w:val="0"/>
        <w:spacing w:after="0" w:line="201" w:lineRule="atLeast"/>
        <w:rPr>
          <w:rFonts w:cstheme="minorHAnsi"/>
          <w:color w:val="000000"/>
        </w:rPr>
      </w:pPr>
      <w:r w:rsidRPr="00206CB1">
        <w:rPr>
          <w:rFonts w:cstheme="minorHAnsi"/>
          <w:color w:val="000000"/>
        </w:rPr>
        <w:t xml:space="preserve">This review, dispute and correction process will impact publication as follows: </w:t>
      </w:r>
    </w:p>
    <w:p w:rsidR="001700F5" w:rsidRPr="00206CB1" w:rsidRDefault="001700F5" w:rsidP="000421FD">
      <w:pPr>
        <w:numPr>
          <w:ilvl w:val="0"/>
          <w:numId w:val="17"/>
        </w:numPr>
        <w:autoSpaceDE w:val="0"/>
        <w:autoSpaceDN w:val="0"/>
        <w:adjustRightInd w:val="0"/>
        <w:spacing w:after="0" w:line="240" w:lineRule="auto"/>
        <w:rPr>
          <w:rFonts w:cstheme="minorHAnsi"/>
          <w:color w:val="000000"/>
        </w:rPr>
      </w:pPr>
      <w:r w:rsidRPr="00206CB1">
        <w:rPr>
          <w:rFonts w:cstheme="minorHAnsi"/>
          <w:color w:val="000000"/>
        </w:rPr>
        <w:t>While the review and correction system will be open year-round, only the data corrections noted dur</w:t>
      </w:r>
      <w:r w:rsidRPr="00206CB1">
        <w:rPr>
          <w:rFonts w:cstheme="minorHAnsi"/>
          <w:color w:val="000000"/>
        </w:rPr>
        <w:softHyphen/>
        <w:t xml:space="preserve">ing the 45-day review and correction period, and subsequent 15-day dispute resolution period, will be updated before publication. </w:t>
      </w:r>
    </w:p>
    <w:p w:rsidR="001700F5" w:rsidRPr="00206CB1" w:rsidRDefault="001700F5" w:rsidP="000421FD">
      <w:pPr>
        <w:numPr>
          <w:ilvl w:val="0"/>
          <w:numId w:val="17"/>
        </w:numPr>
        <w:autoSpaceDE w:val="0"/>
        <w:autoSpaceDN w:val="0"/>
        <w:adjustRightInd w:val="0"/>
        <w:spacing w:after="0" w:line="240" w:lineRule="auto"/>
        <w:rPr>
          <w:rFonts w:cstheme="minorHAnsi"/>
          <w:color w:val="000000"/>
        </w:rPr>
      </w:pPr>
      <w:r w:rsidRPr="00206CB1">
        <w:rPr>
          <w:rFonts w:cstheme="minorHAnsi"/>
          <w:color w:val="000000"/>
        </w:rPr>
        <w:t xml:space="preserve">CMS will update data from the current and previous year at least once annually, in addition to the initial data publication that followed the data submission. </w:t>
      </w:r>
    </w:p>
    <w:p w:rsidR="001700F5" w:rsidRPr="001700F5" w:rsidRDefault="001700F5" w:rsidP="001700F5">
      <w:pPr>
        <w:autoSpaceDE w:val="0"/>
        <w:autoSpaceDN w:val="0"/>
        <w:adjustRightInd w:val="0"/>
        <w:spacing w:after="0" w:line="240" w:lineRule="auto"/>
        <w:rPr>
          <w:rFonts w:cstheme="minorHAnsi"/>
          <w:color w:val="000000"/>
          <w:sz w:val="24"/>
          <w:szCs w:val="24"/>
        </w:rPr>
      </w:pPr>
    </w:p>
    <w:p w:rsidR="00F53A5E" w:rsidRDefault="001700F5" w:rsidP="001700F5">
      <w:pPr>
        <w:autoSpaceDE w:val="0"/>
        <w:autoSpaceDN w:val="0"/>
        <w:adjustRightInd w:val="0"/>
        <w:spacing w:after="80" w:line="201" w:lineRule="atLeast"/>
        <w:rPr>
          <w:rFonts w:cstheme="minorHAnsi"/>
          <w:b/>
          <w:bCs/>
          <w:color w:val="000000"/>
          <w:sz w:val="28"/>
          <w:szCs w:val="28"/>
        </w:rPr>
      </w:pPr>
      <w:r w:rsidRPr="001700F5">
        <w:rPr>
          <w:rFonts w:cstheme="minorHAnsi"/>
          <w:b/>
          <w:bCs/>
          <w:color w:val="000000"/>
          <w:sz w:val="28"/>
          <w:szCs w:val="28"/>
        </w:rPr>
        <w:t xml:space="preserve">Key Dates </w:t>
      </w:r>
    </w:p>
    <w:p w:rsidR="001700F5" w:rsidRPr="00F53A5E" w:rsidRDefault="001700F5" w:rsidP="00F53A5E">
      <w:pPr>
        <w:autoSpaceDE w:val="0"/>
        <w:autoSpaceDN w:val="0"/>
        <w:adjustRightInd w:val="0"/>
        <w:spacing w:after="80" w:line="201" w:lineRule="atLeast"/>
        <w:ind w:firstLine="360"/>
        <w:rPr>
          <w:rFonts w:cstheme="minorHAnsi"/>
          <w:color w:val="000000"/>
          <w:sz w:val="24"/>
          <w:szCs w:val="24"/>
        </w:rPr>
      </w:pPr>
      <w:proofErr w:type="gramStart"/>
      <w:r w:rsidRPr="00F53A5E">
        <w:rPr>
          <w:rFonts w:cstheme="minorHAnsi"/>
          <w:b/>
          <w:bCs/>
          <w:color w:val="000000"/>
          <w:sz w:val="24"/>
          <w:szCs w:val="24"/>
        </w:rPr>
        <w:t>for</w:t>
      </w:r>
      <w:proofErr w:type="gramEnd"/>
      <w:r w:rsidRPr="00F53A5E">
        <w:rPr>
          <w:rFonts w:cstheme="minorHAnsi"/>
          <w:b/>
          <w:bCs/>
          <w:color w:val="000000"/>
          <w:sz w:val="24"/>
          <w:szCs w:val="24"/>
        </w:rPr>
        <w:t xml:space="preserve"> Initial Reporting Period </w:t>
      </w:r>
    </w:p>
    <w:p w:rsidR="001700F5" w:rsidRPr="00206CB1" w:rsidRDefault="001700F5" w:rsidP="006F2DA3">
      <w:pPr>
        <w:pStyle w:val="ListParagraph"/>
        <w:numPr>
          <w:ilvl w:val="0"/>
          <w:numId w:val="19"/>
        </w:numPr>
        <w:autoSpaceDE w:val="0"/>
        <w:autoSpaceDN w:val="0"/>
        <w:adjustRightInd w:val="0"/>
        <w:spacing w:after="0" w:line="240" w:lineRule="auto"/>
        <w:rPr>
          <w:rFonts w:cstheme="minorHAnsi"/>
          <w:color w:val="000000"/>
        </w:rPr>
      </w:pPr>
      <w:r w:rsidRPr="00206CB1">
        <w:rPr>
          <w:rFonts w:cstheme="minorHAnsi"/>
          <w:color w:val="000000"/>
        </w:rPr>
        <w:t>Applicable manufacturer and applicable GPOs must begin to collect the required data on August 1, 2013 and report the collected data through December 31</w:t>
      </w:r>
      <w:r w:rsidR="006F2DA3" w:rsidRPr="00206CB1">
        <w:rPr>
          <w:rFonts w:cstheme="minorHAnsi"/>
          <w:color w:val="000000"/>
        </w:rPr>
        <w:t xml:space="preserve"> </w:t>
      </w:r>
      <w:r w:rsidRPr="00206CB1">
        <w:rPr>
          <w:rFonts w:cstheme="minorHAnsi"/>
          <w:color w:val="000000"/>
        </w:rPr>
        <w:t xml:space="preserve">to CMS by March 31, 2014. </w:t>
      </w:r>
    </w:p>
    <w:p w:rsidR="001700F5" w:rsidRPr="00206CB1" w:rsidRDefault="006F2DA3" w:rsidP="006F2DA3">
      <w:pPr>
        <w:pStyle w:val="ListParagraph"/>
        <w:numPr>
          <w:ilvl w:val="0"/>
          <w:numId w:val="19"/>
        </w:numPr>
        <w:autoSpaceDE w:val="0"/>
        <w:autoSpaceDN w:val="0"/>
        <w:adjustRightInd w:val="0"/>
        <w:spacing w:after="0" w:line="240" w:lineRule="auto"/>
        <w:rPr>
          <w:rFonts w:cstheme="minorHAnsi"/>
          <w:color w:val="000000"/>
        </w:rPr>
      </w:pPr>
      <w:r w:rsidRPr="00206CB1">
        <w:rPr>
          <w:rFonts w:cstheme="minorHAnsi"/>
          <w:color w:val="000000"/>
        </w:rPr>
        <w:t>On</w:t>
      </w:r>
      <w:r w:rsidR="001700F5" w:rsidRPr="00206CB1">
        <w:rPr>
          <w:rFonts w:cstheme="minorHAnsi"/>
          <w:color w:val="000000"/>
        </w:rPr>
        <w:t xml:space="preserve"> September 30, 2014, CMS will publish the reported data on a publicly available website. </w:t>
      </w:r>
    </w:p>
    <w:p w:rsidR="001700F5" w:rsidRPr="00206CB1" w:rsidRDefault="001700F5" w:rsidP="001700F5">
      <w:pPr>
        <w:autoSpaceDE w:val="0"/>
        <w:autoSpaceDN w:val="0"/>
        <w:adjustRightInd w:val="0"/>
        <w:spacing w:after="0" w:line="240" w:lineRule="auto"/>
        <w:rPr>
          <w:rFonts w:cstheme="minorHAnsi"/>
          <w:color w:val="000000"/>
        </w:rPr>
      </w:pPr>
    </w:p>
    <w:p w:rsidR="006F2DA3" w:rsidRPr="00F53A5E" w:rsidRDefault="006F2DA3" w:rsidP="00F53A5E">
      <w:pPr>
        <w:autoSpaceDE w:val="0"/>
        <w:autoSpaceDN w:val="0"/>
        <w:adjustRightInd w:val="0"/>
        <w:spacing w:after="80" w:line="201" w:lineRule="atLeast"/>
        <w:ind w:firstLine="360"/>
        <w:rPr>
          <w:rFonts w:cstheme="minorHAnsi"/>
          <w:color w:val="000000"/>
          <w:sz w:val="24"/>
          <w:szCs w:val="24"/>
        </w:rPr>
      </w:pPr>
      <w:proofErr w:type="gramStart"/>
      <w:r w:rsidRPr="00F53A5E">
        <w:rPr>
          <w:rFonts w:cstheme="minorHAnsi"/>
          <w:b/>
          <w:bCs/>
          <w:color w:val="000000"/>
          <w:sz w:val="24"/>
          <w:szCs w:val="24"/>
        </w:rPr>
        <w:t>for</w:t>
      </w:r>
      <w:proofErr w:type="gramEnd"/>
      <w:r w:rsidRPr="00F53A5E">
        <w:rPr>
          <w:rFonts w:cstheme="minorHAnsi"/>
          <w:b/>
          <w:bCs/>
          <w:color w:val="000000"/>
          <w:sz w:val="24"/>
          <w:szCs w:val="24"/>
        </w:rPr>
        <w:t xml:space="preserve"> Ongoing Reporting Period </w:t>
      </w:r>
    </w:p>
    <w:p w:rsidR="006F2DA3" w:rsidRPr="00206CB1" w:rsidRDefault="009F37E4" w:rsidP="006F2DA3">
      <w:pPr>
        <w:pStyle w:val="ListParagraph"/>
        <w:numPr>
          <w:ilvl w:val="0"/>
          <w:numId w:val="19"/>
        </w:numPr>
        <w:autoSpaceDE w:val="0"/>
        <w:autoSpaceDN w:val="0"/>
        <w:adjustRightInd w:val="0"/>
        <w:spacing w:after="0" w:line="240" w:lineRule="auto"/>
        <w:rPr>
          <w:rFonts w:cstheme="minorHAnsi"/>
          <w:color w:val="000000"/>
        </w:rPr>
      </w:pPr>
      <w:r w:rsidRPr="00206CB1">
        <w:rPr>
          <w:rFonts w:cstheme="minorHAnsi"/>
          <w:color w:val="000000"/>
        </w:rPr>
        <w:t>Beginning in 2014, a</w:t>
      </w:r>
      <w:r w:rsidR="006F2DA3" w:rsidRPr="00206CB1">
        <w:rPr>
          <w:rFonts w:cstheme="minorHAnsi"/>
          <w:color w:val="000000"/>
        </w:rPr>
        <w:t xml:space="preserve">pplicable manufacturer and applicable GPOs must collect the required data annually beginning </w:t>
      </w:r>
      <w:r w:rsidRPr="00206CB1">
        <w:rPr>
          <w:rFonts w:cstheme="minorHAnsi"/>
          <w:color w:val="000000"/>
        </w:rPr>
        <w:t>January 1</w:t>
      </w:r>
      <w:r w:rsidR="006F2DA3" w:rsidRPr="00206CB1">
        <w:rPr>
          <w:rFonts w:cstheme="minorHAnsi"/>
          <w:color w:val="000000"/>
        </w:rPr>
        <w:t xml:space="preserve"> and report the collected data through December 31 to CMS by March 31 the following year. </w:t>
      </w:r>
    </w:p>
    <w:p w:rsidR="00A518D3" w:rsidRPr="00206CB1" w:rsidRDefault="006F2DA3" w:rsidP="00840948">
      <w:pPr>
        <w:pStyle w:val="ListParagraph"/>
        <w:numPr>
          <w:ilvl w:val="0"/>
          <w:numId w:val="19"/>
        </w:numPr>
        <w:autoSpaceDE w:val="0"/>
        <w:autoSpaceDN w:val="0"/>
        <w:adjustRightInd w:val="0"/>
        <w:spacing w:after="0" w:line="240" w:lineRule="auto"/>
        <w:rPr>
          <w:rFonts w:cstheme="minorHAnsi"/>
          <w:color w:val="000000"/>
        </w:rPr>
      </w:pPr>
      <w:r w:rsidRPr="00206CB1">
        <w:rPr>
          <w:rFonts w:cstheme="minorHAnsi"/>
          <w:color w:val="000000"/>
        </w:rPr>
        <w:t xml:space="preserve">Annually on June 30, CMS will publish the reported data on a publicly available website. </w:t>
      </w:r>
    </w:p>
    <w:p w:rsidR="00A518D3" w:rsidRPr="00A518D3" w:rsidRDefault="00A518D3" w:rsidP="00206CB1">
      <w:pPr>
        <w:spacing w:before="100" w:beforeAutospacing="1" w:after="0" w:line="240" w:lineRule="auto"/>
        <w:outlineLvl w:val="1"/>
        <w:rPr>
          <w:rFonts w:eastAsia="Times New Roman" w:cstheme="minorHAnsi"/>
          <w:b/>
          <w:bCs/>
          <w:sz w:val="28"/>
          <w:szCs w:val="28"/>
        </w:rPr>
      </w:pPr>
      <w:bookmarkStart w:id="1" w:name="Key_Elements"/>
      <w:bookmarkEnd w:id="1"/>
      <w:r w:rsidRPr="00A518D3">
        <w:rPr>
          <w:rFonts w:eastAsia="Times New Roman" w:cstheme="minorHAnsi"/>
          <w:b/>
          <w:bCs/>
          <w:sz w:val="28"/>
          <w:szCs w:val="28"/>
        </w:rPr>
        <w:t>Key Elements</w:t>
      </w:r>
    </w:p>
    <w:p w:rsidR="00A518D3" w:rsidRDefault="00A518D3" w:rsidP="00206CB1">
      <w:pPr>
        <w:spacing w:after="0" w:line="240" w:lineRule="auto"/>
        <w:jc w:val="both"/>
        <w:rPr>
          <w:rFonts w:eastAsia="Times New Roman" w:cstheme="minorHAnsi"/>
        </w:rPr>
      </w:pPr>
      <w:r w:rsidRPr="00A518D3">
        <w:rPr>
          <w:rFonts w:eastAsia="Times New Roman" w:cstheme="minorHAnsi"/>
        </w:rPr>
        <w:t>Below are some other key elements of the Sunshine Act and its implementation:</w:t>
      </w:r>
    </w:p>
    <w:p w:rsidR="00A518D3" w:rsidRPr="00A518D3" w:rsidRDefault="00A518D3" w:rsidP="00206CB1">
      <w:pPr>
        <w:numPr>
          <w:ilvl w:val="0"/>
          <w:numId w:val="21"/>
        </w:numPr>
        <w:spacing w:after="0" w:line="240" w:lineRule="auto"/>
        <w:jc w:val="both"/>
        <w:rPr>
          <w:rFonts w:eastAsia="Times New Roman" w:cstheme="minorHAnsi"/>
        </w:rPr>
      </w:pPr>
      <w:r w:rsidRPr="00A518D3">
        <w:rPr>
          <w:rFonts w:eastAsia="Times New Roman" w:cstheme="minorHAnsi"/>
        </w:rPr>
        <w:t xml:space="preserve">Manufacturers must collect and provide information about </w:t>
      </w:r>
      <w:r w:rsidRPr="00206CB1">
        <w:rPr>
          <w:rFonts w:eastAsia="Times New Roman" w:cstheme="minorHAnsi"/>
          <w:b/>
          <w:bCs/>
        </w:rPr>
        <w:t>indirect</w:t>
      </w:r>
      <w:r w:rsidRPr="00A518D3">
        <w:rPr>
          <w:rFonts w:eastAsia="Times New Roman" w:cstheme="minorHAnsi"/>
        </w:rPr>
        <w:t xml:space="preserve"> </w:t>
      </w:r>
      <w:r w:rsidRPr="00206CB1">
        <w:rPr>
          <w:rFonts w:eastAsia="Times New Roman" w:cstheme="minorHAnsi"/>
          <w:b/>
          <w:bCs/>
        </w:rPr>
        <w:t>payments</w:t>
      </w:r>
      <w:r w:rsidRPr="00A518D3">
        <w:rPr>
          <w:rFonts w:eastAsia="Times New Roman" w:cstheme="minorHAnsi"/>
        </w:rPr>
        <w:t xml:space="preserve"> </w:t>
      </w:r>
      <w:r w:rsidRPr="00206CB1">
        <w:rPr>
          <w:rFonts w:eastAsia="Times New Roman" w:cstheme="minorHAnsi"/>
          <w:b/>
          <w:bCs/>
        </w:rPr>
        <w:t>as well as payments made directly to physicians</w:t>
      </w:r>
      <w:r w:rsidRPr="00A518D3">
        <w:rPr>
          <w:rFonts w:eastAsia="Times New Roman" w:cstheme="minorHAnsi"/>
        </w:rPr>
        <w:t xml:space="preserve">.  For example, if a physician is paid indirectly through a </w:t>
      </w:r>
      <w:r w:rsidRPr="00A518D3">
        <w:rPr>
          <w:rFonts w:eastAsia="Times New Roman" w:cstheme="minorHAnsi"/>
        </w:rPr>
        <w:lastRenderedPageBreak/>
        <w:t xml:space="preserve">third party organization (e.g., contract research organization, travel agency), the payment will be listed as a transfer from the manufacturer to the physician.  If you are engaged in consulting under an institutional agreement between </w:t>
      </w:r>
      <w:r w:rsidR="00FD6082" w:rsidRPr="00206CB1">
        <w:rPr>
          <w:rFonts w:eastAsia="Times New Roman" w:cstheme="minorHAnsi"/>
        </w:rPr>
        <w:t>WFBMC</w:t>
      </w:r>
      <w:r w:rsidRPr="00A518D3">
        <w:rPr>
          <w:rFonts w:eastAsia="Times New Roman" w:cstheme="minorHAnsi"/>
        </w:rPr>
        <w:t xml:space="preserve"> and a company, this might be considered an indirect payment to you and might be included.</w:t>
      </w:r>
    </w:p>
    <w:p w:rsidR="00A518D3" w:rsidRPr="00A518D3" w:rsidRDefault="00A518D3" w:rsidP="00A518D3">
      <w:pPr>
        <w:numPr>
          <w:ilvl w:val="0"/>
          <w:numId w:val="21"/>
        </w:numPr>
        <w:spacing w:before="100" w:beforeAutospacing="1" w:after="100" w:afterAutospacing="1" w:line="240" w:lineRule="auto"/>
        <w:jc w:val="both"/>
        <w:rPr>
          <w:rFonts w:eastAsia="Times New Roman" w:cstheme="minorHAnsi"/>
        </w:rPr>
      </w:pPr>
      <w:r w:rsidRPr="00A518D3">
        <w:rPr>
          <w:rFonts w:eastAsia="Times New Roman" w:cstheme="minorHAnsi"/>
        </w:rPr>
        <w:t xml:space="preserve">Payments to physicians for serving as faculty or speakers for accredited Continuing Medical Education activities are </w:t>
      </w:r>
      <w:r w:rsidRPr="00A518D3">
        <w:rPr>
          <w:rFonts w:eastAsia="Times New Roman" w:cstheme="minorHAnsi"/>
          <w:u w:val="single"/>
        </w:rPr>
        <w:t>not</w:t>
      </w:r>
      <w:r w:rsidRPr="00A518D3">
        <w:rPr>
          <w:rFonts w:eastAsia="Times New Roman" w:cstheme="minorHAnsi"/>
        </w:rPr>
        <w:t xml:space="preserve"> included.</w:t>
      </w:r>
    </w:p>
    <w:p w:rsidR="00A518D3" w:rsidRPr="00A518D3" w:rsidRDefault="00A518D3" w:rsidP="00A518D3">
      <w:pPr>
        <w:numPr>
          <w:ilvl w:val="0"/>
          <w:numId w:val="21"/>
        </w:numPr>
        <w:spacing w:before="100" w:beforeAutospacing="1" w:after="100" w:afterAutospacing="1" w:line="240" w:lineRule="auto"/>
        <w:jc w:val="both"/>
        <w:rPr>
          <w:rFonts w:eastAsia="Times New Roman" w:cstheme="minorHAnsi"/>
        </w:rPr>
      </w:pPr>
      <w:r w:rsidRPr="00A518D3">
        <w:rPr>
          <w:rFonts w:eastAsia="Times New Roman" w:cstheme="minorHAnsi"/>
        </w:rPr>
        <w:t>Manufacturers are responsible for reporting to CMS; physicians and teaching hospitals are not responsible for reporting to CMS.</w:t>
      </w:r>
    </w:p>
    <w:p w:rsidR="00A518D3" w:rsidRPr="00A518D3" w:rsidRDefault="00A518D3" w:rsidP="00A518D3">
      <w:pPr>
        <w:numPr>
          <w:ilvl w:val="0"/>
          <w:numId w:val="21"/>
        </w:numPr>
        <w:spacing w:before="100" w:beforeAutospacing="1" w:after="100" w:afterAutospacing="1" w:line="240" w:lineRule="auto"/>
        <w:jc w:val="both"/>
        <w:rPr>
          <w:rFonts w:eastAsia="Times New Roman" w:cstheme="minorHAnsi"/>
        </w:rPr>
      </w:pPr>
      <w:r w:rsidRPr="00A518D3">
        <w:rPr>
          <w:rFonts w:eastAsia="Times New Roman" w:cstheme="minorHAnsi"/>
        </w:rPr>
        <w:t>Manufacturers must identify physicians by NPI, so you may be asked to provide your NPI to a company that has made payments to you, whether directly or indirectly.</w:t>
      </w:r>
    </w:p>
    <w:p w:rsidR="00A518D3" w:rsidRPr="00A518D3" w:rsidRDefault="00A518D3" w:rsidP="00A518D3">
      <w:pPr>
        <w:numPr>
          <w:ilvl w:val="0"/>
          <w:numId w:val="21"/>
        </w:numPr>
        <w:spacing w:before="100" w:beforeAutospacing="1" w:after="100" w:afterAutospacing="1" w:line="240" w:lineRule="auto"/>
        <w:jc w:val="both"/>
        <w:rPr>
          <w:rFonts w:eastAsia="Times New Roman" w:cstheme="minorHAnsi"/>
        </w:rPr>
      </w:pPr>
      <w:r w:rsidRPr="00A518D3">
        <w:rPr>
          <w:rFonts w:eastAsia="Times New Roman" w:cstheme="minorHAnsi"/>
        </w:rPr>
        <w:t xml:space="preserve">At </w:t>
      </w:r>
      <w:r w:rsidR="00FD6082" w:rsidRPr="00206CB1">
        <w:rPr>
          <w:rFonts w:eastAsia="Times New Roman" w:cstheme="minorHAnsi"/>
        </w:rPr>
        <w:t>WFBMC</w:t>
      </w:r>
      <w:r w:rsidRPr="00A518D3">
        <w:rPr>
          <w:rFonts w:eastAsia="Times New Roman" w:cstheme="minorHAnsi"/>
        </w:rPr>
        <w:t>, payments for research are made to the institution, not to individual physicians.  However, the Sunshine Act requires that physicians who are investigators on research supported by manufacturers be listed in connection with the research payments to the institution.  As we understand it, these payments will be listed in a separate research reporting section of the web site.</w:t>
      </w:r>
    </w:p>
    <w:p w:rsidR="00A518D3" w:rsidRPr="00A518D3" w:rsidRDefault="00A518D3" w:rsidP="00A518D3">
      <w:pPr>
        <w:numPr>
          <w:ilvl w:val="0"/>
          <w:numId w:val="21"/>
        </w:numPr>
        <w:spacing w:before="100" w:beforeAutospacing="1" w:after="100" w:afterAutospacing="1" w:line="240" w:lineRule="auto"/>
        <w:jc w:val="both"/>
        <w:rPr>
          <w:rFonts w:eastAsia="Times New Roman" w:cstheme="minorHAnsi"/>
        </w:rPr>
      </w:pPr>
      <w:r w:rsidRPr="00A518D3">
        <w:rPr>
          <w:rFonts w:eastAsia="Times New Roman" w:cstheme="minorHAnsi"/>
        </w:rPr>
        <w:t>Payments to physicians will be listed by physician name, not by the physician’s place of employment or appointment.</w:t>
      </w:r>
    </w:p>
    <w:p w:rsidR="00A518D3" w:rsidRPr="00A518D3" w:rsidRDefault="00A518D3" w:rsidP="00206CB1">
      <w:pPr>
        <w:spacing w:after="0" w:line="240" w:lineRule="auto"/>
        <w:outlineLvl w:val="1"/>
        <w:rPr>
          <w:rFonts w:eastAsia="Times New Roman" w:cstheme="minorHAnsi"/>
          <w:b/>
          <w:bCs/>
          <w:sz w:val="28"/>
          <w:szCs w:val="28"/>
        </w:rPr>
      </w:pPr>
      <w:bookmarkStart w:id="2" w:name="More_Info"/>
      <w:bookmarkEnd w:id="2"/>
      <w:r w:rsidRPr="00A518D3">
        <w:rPr>
          <w:rFonts w:eastAsia="Times New Roman" w:cstheme="minorHAnsi"/>
          <w:b/>
          <w:bCs/>
          <w:sz w:val="28"/>
          <w:szCs w:val="28"/>
        </w:rPr>
        <w:t>More Information</w:t>
      </w:r>
    </w:p>
    <w:p w:rsidR="00A518D3" w:rsidRPr="00A518D3" w:rsidRDefault="00A518D3" w:rsidP="00206CB1">
      <w:pPr>
        <w:spacing w:after="0" w:line="240" w:lineRule="auto"/>
        <w:jc w:val="both"/>
        <w:rPr>
          <w:rFonts w:eastAsia="Times New Roman" w:cstheme="minorHAnsi"/>
        </w:rPr>
      </w:pPr>
      <w:r w:rsidRPr="00A518D3">
        <w:rPr>
          <w:rFonts w:eastAsia="Times New Roman" w:cstheme="minorHAnsi"/>
        </w:rPr>
        <w:t xml:space="preserve">More </w:t>
      </w:r>
      <w:r w:rsidRPr="00206CB1">
        <w:rPr>
          <w:rFonts w:eastAsia="Times New Roman" w:cstheme="minorHAnsi"/>
          <w:b/>
          <w:bCs/>
          <w:i/>
          <w:iCs/>
        </w:rPr>
        <w:t>information regarding the Sunshine Act</w:t>
      </w:r>
      <w:r w:rsidR="00685134" w:rsidRPr="00206CB1">
        <w:rPr>
          <w:rFonts w:eastAsia="Times New Roman" w:cstheme="minorHAnsi"/>
        </w:rPr>
        <w:t xml:space="preserve"> is available on the</w:t>
      </w:r>
      <w:r w:rsidRPr="00A518D3">
        <w:rPr>
          <w:rFonts w:eastAsia="Times New Roman" w:cstheme="minorHAnsi"/>
        </w:rPr>
        <w:t xml:space="preserve"> </w:t>
      </w:r>
      <w:hyperlink r:id="rId9" w:history="1">
        <w:r w:rsidRPr="00206CB1">
          <w:rPr>
            <w:rFonts w:eastAsia="Times New Roman" w:cstheme="minorHAnsi"/>
            <w:color w:val="0000FF"/>
            <w:u w:val="single"/>
          </w:rPr>
          <w:t>CMS website</w:t>
        </w:r>
      </w:hyperlink>
      <w:r w:rsidRPr="00A518D3">
        <w:rPr>
          <w:rFonts w:eastAsia="Times New Roman" w:cstheme="minorHAnsi"/>
        </w:rPr>
        <w:t xml:space="preserve">.  Please note that CMS is still developing the process, so some implementation details may change.  To receive updates from CMS, you may register for the listserv by emailing </w:t>
      </w:r>
      <w:hyperlink r:id="rId10" w:history="1">
        <w:r w:rsidRPr="00206CB1">
          <w:rPr>
            <w:rFonts w:eastAsia="Times New Roman" w:cstheme="minorHAnsi"/>
            <w:color w:val="0000FF"/>
            <w:u w:val="single"/>
          </w:rPr>
          <w:t>OPENPAYMENTS@cms.hhs.gov</w:t>
        </w:r>
      </w:hyperlink>
      <w:r w:rsidRPr="00A518D3">
        <w:rPr>
          <w:rFonts w:eastAsia="Times New Roman" w:cstheme="minorHAnsi"/>
        </w:rPr>
        <w:t>.</w:t>
      </w:r>
    </w:p>
    <w:p w:rsidR="006F2DA3" w:rsidRPr="00206CB1" w:rsidRDefault="00A518D3" w:rsidP="004D09E8">
      <w:pPr>
        <w:spacing w:before="100" w:beforeAutospacing="1" w:after="100" w:afterAutospacing="1" w:line="240" w:lineRule="auto"/>
        <w:jc w:val="both"/>
        <w:rPr>
          <w:rFonts w:eastAsia="Times New Roman" w:cstheme="minorHAnsi"/>
        </w:rPr>
      </w:pPr>
      <w:r w:rsidRPr="00206CB1">
        <w:rPr>
          <w:rFonts w:eastAsia="Times New Roman" w:cstheme="minorHAnsi"/>
          <w:b/>
          <w:bCs/>
          <w:i/>
          <w:iCs/>
        </w:rPr>
        <w:t>Faculty physicians</w:t>
      </w:r>
      <w:r w:rsidRPr="00A518D3">
        <w:rPr>
          <w:rFonts w:eastAsia="Times New Roman" w:cstheme="minorHAnsi"/>
        </w:rPr>
        <w:t xml:space="preserve"> who have </w:t>
      </w:r>
      <w:r w:rsidRPr="00206CB1">
        <w:rPr>
          <w:rFonts w:eastAsia="Times New Roman" w:cstheme="minorHAnsi"/>
          <w:b/>
          <w:bCs/>
          <w:i/>
          <w:iCs/>
        </w:rPr>
        <w:t xml:space="preserve">questions about consulting activity or </w:t>
      </w:r>
      <w:r w:rsidR="004D09E8" w:rsidRPr="00206CB1">
        <w:rPr>
          <w:rFonts w:eastAsia="Times New Roman" w:cstheme="minorHAnsi"/>
          <w:b/>
          <w:bCs/>
          <w:i/>
          <w:iCs/>
        </w:rPr>
        <w:t>annual</w:t>
      </w:r>
      <w:r w:rsidRPr="00206CB1">
        <w:rPr>
          <w:rFonts w:eastAsia="Times New Roman" w:cstheme="minorHAnsi"/>
          <w:b/>
          <w:bCs/>
          <w:i/>
          <w:iCs/>
        </w:rPr>
        <w:t xml:space="preserve"> disclosure requirements</w:t>
      </w:r>
      <w:r w:rsidRPr="00A518D3">
        <w:rPr>
          <w:rFonts w:eastAsia="Times New Roman" w:cstheme="minorHAnsi"/>
        </w:rPr>
        <w:t xml:space="preserve"> may contact the </w:t>
      </w:r>
      <w:r w:rsidR="004D09E8" w:rsidRPr="00206CB1">
        <w:rPr>
          <w:rFonts w:eastAsia="Times New Roman" w:cstheme="minorHAnsi"/>
        </w:rPr>
        <w:t>Medical Center Conflict of Interest Office</w:t>
      </w:r>
      <w:r w:rsidRPr="00A518D3">
        <w:rPr>
          <w:rFonts w:eastAsia="Times New Roman" w:cstheme="minorHAnsi"/>
        </w:rPr>
        <w:t xml:space="preserve"> at </w:t>
      </w:r>
      <w:hyperlink r:id="rId11" w:history="1">
        <w:r w:rsidR="004D09E8" w:rsidRPr="00206CB1">
          <w:rPr>
            <w:rStyle w:val="Hyperlink"/>
            <w:rFonts w:eastAsia="Times New Roman" w:cstheme="minorHAnsi"/>
          </w:rPr>
          <w:t>coioffice@wakehealth.edu</w:t>
        </w:r>
      </w:hyperlink>
      <w:r w:rsidR="004D09E8" w:rsidRPr="00206CB1">
        <w:rPr>
          <w:rFonts w:eastAsia="Times New Roman" w:cstheme="minorHAnsi"/>
        </w:rPr>
        <w:t xml:space="preserve"> or 716-9300</w:t>
      </w:r>
      <w:r w:rsidRPr="00A518D3">
        <w:rPr>
          <w:rFonts w:eastAsia="Times New Roman" w:cstheme="minorHAnsi"/>
        </w:rPr>
        <w:t xml:space="preserve">. </w:t>
      </w:r>
    </w:p>
    <w:sectPr w:rsidR="006F2DA3" w:rsidRPr="00206CB1" w:rsidSect="00E950B9">
      <w:footerReference w:type="default" r:id="rId12"/>
      <w:pgSz w:w="12240" w:h="15840"/>
      <w:pgMar w:top="720"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82A" w:rsidRDefault="0060482A" w:rsidP="00052A51">
      <w:pPr>
        <w:spacing w:after="0" w:line="240" w:lineRule="auto"/>
      </w:pPr>
      <w:r>
        <w:separator/>
      </w:r>
    </w:p>
  </w:endnote>
  <w:endnote w:type="continuationSeparator" w:id="0">
    <w:p w:rsidR="0060482A" w:rsidRDefault="0060482A" w:rsidP="0005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2A51" w:rsidRPr="00052A51" w:rsidRDefault="00052A51" w:rsidP="00052A51">
    <w:pPr>
      <w:pStyle w:val="Footer"/>
      <w:rPr>
        <w:i/>
        <w:sz w:val="16"/>
        <w:szCs w:val="16"/>
      </w:rPr>
    </w:pPr>
    <w:r w:rsidRPr="00052A51">
      <w:rPr>
        <w:i/>
        <w:sz w:val="16"/>
        <w:szCs w:val="16"/>
      </w:rPr>
      <w:t>Version_08.07.2013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82A" w:rsidRDefault="0060482A" w:rsidP="00052A51">
      <w:pPr>
        <w:spacing w:after="0" w:line="240" w:lineRule="auto"/>
      </w:pPr>
      <w:r>
        <w:separator/>
      </w:r>
    </w:p>
  </w:footnote>
  <w:footnote w:type="continuationSeparator" w:id="0">
    <w:p w:rsidR="0060482A" w:rsidRDefault="0060482A" w:rsidP="00052A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FE67F2"/>
    <w:multiLevelType w:val="hybridMultilevel"/>
    <w:tmpl w:val="9DBAC4A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06EB226"/>
    <w:multiLevelType w:val="hybridMultilevel"/>
    <w:tmpl w:val="16A5040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380DF18"/>
    <w:multiLevelType w:val="hybridMultilevel"/>
    <w:tmpl w:val="C7254AE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7A15840"/>
    <w:multiLevelType w:val="hybridMultilevel"/>
    <w:tmpl w:val="2AFA2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46932A"/>
    <w:multiLevelType w:val="hybridMultilevel"/>
    <w:tmpl w:val="73D7BF2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D6D51F3"/>
    <w:multiLevelType w:val="hybridMultilevel"/>
    <w:tmpl w:val="4E66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5F5ACE"/>
    <w:multiLevelType w:val="multilevel"/>
    <w:tmpl w:val="98DA4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27496"/>
    <w:multiLevelType w:val="hybridMultilevel"/>
    <w:tmpl w:val="CF78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92416A9"/>
    <w:multiLevelType w:val="hybridMultilevel"/>
    <w:tmpl w:val="325684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EBABBF"/>
    <w:multiLevelType w:val="hybridMultilevel"/>
    <w:tmpl w:val="CB9B4D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EDE2928"/>
    <w:multiLevelType w:val="hybridMultilevel"/>
    <w:tmpl w:val="17865C7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CE93FF6"/>
    <w:multiLevelType w:val="hybridMultilevel"/>
    <w:tmpl w:val="0F0C9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3A80B62"/>
    <w:multiLevelType w:val="hybridMultilevel"/>
    <w:tmpl w:val="44DD0DF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43E1B62"/>
    <w:multiLevelType w:val="hybridMultilevel"/>
    <w:tmpl w:val="8764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20ED3"/>
    <w:multiLevelType w:val="hybridMultilevel"/>
    <w:tmpl w:val="BE9ABF4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59CCE30C"/>
    <w:multiLevelType w:val="hybridMultilevel"/>
    <w:tmpl w:val="66927BC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C756238"/>
    <w:multiLevelType w:val="hybridMultilevel"/>
    <w:tmpl w:val="969F67B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1FA1244"/>
    <w:multiLevelType w:val="hybridMultilevel"/>
    <w:tmpl w:val="E32A6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8490204"/>
    <w:multiLevelType w:val="hybridMultilevel"/>
    <w:tmpl w:val="9E4E5D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A93681E"/>
    <w:multiLevelType w:val="hybridMultilevel"/>
    <w:tmpl w:val="2B2F61C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44BD9F0"/>
    <w:multiLevelType w:val="hybridMultilevel"/>
    <w:tmpl w:val="AFB1A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4814F9A"/>
    <w:multiLevelType w:val="multilevel"/>
    <w:tmpl w:val="05086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0"/>
  </w:num>
  <w:num w:numId="3">
    <w:abstractNumId w:val="19"/>
  </w:num>
  <w:num w:numId="4">
    <w:abstractNumId w:val="18"/>
  </w:num>
  <w:num w:numId="5">
    <w:abstractNumId w:val="15"/>
  </w:num>
  <w:num w:numId="6">
    <w:abstractNumId w:val="12"/>
  </w:num>
  <w:num w:numId="7">
    <w:abstractNumId w:val="4"/>
  </w:num>
  <w:num w:numId="8">
    <w:abstractNumId w:val="16"/>
  </w:num>
  <w:num w:numId="9">
    <w:abstractNumId w:val="2"/>
  </w:num>
  <w:num w:numId="10">
    <w:abstractNumId w:val="0"/>
  </w:num>
  <w:num w:numId="11">
    <w:abstractNumId w:val="1"/>
  </w:num>
  <w:num w:numId="12">
    <w:abstractNumId w:val="9"/>
  </w:num>
  <w:num w:numId="13">
    <w:abstractNumId w:val="3"/>
  </w:num>
  <w:num w:numId="14">
    <w:abstractNumId w:val="13"/>
  </w:num>
  <w:num w:numId="15">
    <w:abstractNumId w:val="8"/>
  </w:num>
  <w:num w:numId="16">
    <w:abstractNumId w:val="7"/>
  </w:num>
  <w:num w:numId="17">
    <w:abstractNumId w:val="5"/>
  </w:num>
  <w:num w:numId="18">
    <w:abstractNumId w:val="14"/>
  </w:num>
  <w:num w:numId="19">
    <w:abstractNumId w:val="11"/>
  </w:num>
  <w:num w:numId="20">
    <w:abstractNumId w:val="21"/>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7D"/>
    <w:rsid w:val="00041972"/>
    <w:rsid w:val="00041BDD"/>
    <w:rsid w:val="000421FD"/>
    <w:rsid w:val="000500CB"/>
    <w:rsid w:val="00052A51"/>
    <w:rsid w:val="00081C18"/>
    <w:rsid w:val="00086A93"/>
    <w:rsid w:val="000A04FE"/>
    <w:rsid w:val="000C12C4"/>
    <w:rsid w:val="000C1A4D"/>
    <w:rsid w:val="000C29F3"/>
    <w:rsid w:val="000C7C4F"/>
    <w:rsid w:val="000D4971"/>
    <w:rsid w:val="000E10FD"/>
    <w:rsid w:val="000E4A74"/>
    <w:rsid w:val="000E58A4"/>
    <w:rsid w:val="000E6D39"/>
    <w:rsid w:val="000F3CA3"/>
    <w:rsid w:val="000F5074"/>
    <w:rsid w:val="00105BF0"/>
    <w:rsid w:val="00106CC9"/>
    <w:rsid w:val="00124530"/>
    <w:rsid w:val="0013241F"/>
    <w:rsid w:val="00136AE0"/>
    <w:rsid w:val="00151B4B"/>
    <w:rsid w:val="00153BED"/>
    <w:rsid w:val="001633FC"/>
    <w:rsid w:val="001700F5"/>
    <w:rsid w:val="0018601D"/>
    <w:rsid w:val="00195533"/>
    <w:rsid w:val="00196A8A"/>
    <w:rsid w:val="001B34C6"/>
    <w:rsid w:val="001D1E0D"/>
    <w:rsid w:val="001E44CD"/>
    <w:rsid w:val="002046EF"/>
    <w:rsid w:val="00205048"/>
    <w:rsid w:val="00206CB1"/>
    <w:rsid w:val="00220681"/>
    <w:rsid w:val="00221E11"/>
    <w:rsid w:val="00230AED"/>
    <w:rsid w:val="0024451C"/>
    <w:rsid w:val="00251F1B"/>
    <w:rsid w:val="00263DDA"/>
    <w:rsid w:val="00281ED3"/>
    <w:rsid w:val="002B59EA"/>
    <w:rsid w:val="002C113F"/>
    <w:rsid w:val="002C6632"/>
    <w:rsid w:val="002D252B"/>
    <w:rsid w:val="002E6CFD"/>
    <w:rsid w:val="00312A46"/>
    <w:rsid w:val="003339A9"/>
    <w:rsid w:val="00375620"/>
    <w:rsid w:val="00377BAC"/>
    <w:rsid w:val="00384831"/>
    <w:rsid w:val="00386B84"/>
    <w:rsid w:val="00391CDA"/>
    <w:rsid w:val="003D77A7"/>
    <w:rsid w:val="003E306B"/>
    <w:rsid w:val="003E3328"/>
    <w:rsid w:val="00410922"/>
    <w:rsid w:val="004162E5"/>
    <w:rsid w:val="00425521"/>
    <w:rsid w:val="00431E76"/>
    <w:rsid w:val="00452A8C"/>
    <w:rsid w:val="004700D9"/>
    <w:rsid w:val="004878FB"/>
    <w:rsid w:val="004A4862"/>
    <w:rsid w:val="004A7B8F"/>
    <w:rsid w:val="004D09E8"/>
    <w:rsid w:val="004F6EA1"/>
    <w:rsid w:val="00520A27"/>
    <w:rsid w:val="00525C49"/>
    <w:rsid w:val="005261F7"/>
    <w:rsid w:val="00547114"/>
    <w:rsid w:val="00571ACF"/>
    <w:rsid w:val="005742D8"/>
    <w:rsid w:val="00585BBE"/>
    <w:rsid w:val="005A4957"/>
    <w:rsid w:val="005C0D7E"/>
    <w:rsid w:val="005C74B7"/>
    <w:rsid w:val="005E0B51"/>
    <w:rsid w:val="005E121A"/>
    <w:rsid w:val="005F1869"/>
    <w:rsid w:val="005F27F6"/>
    <w:rsid w:val="0060482A"/>
    <w:rsid w:val="006048FD"/>
    <w:rsid w:val="006075D2"/>
    <w:rsid w:val="00610F12"/>
    <w:rsid w:val="0062181E"/>
    <w:rsid w:val="00630BDA"/>
    <w:rsid w:val="0063360F"/>
    <w:rsid w:val="00666D23"/>
    <w:rsid w:val="00671AD1"/>
    <w:rsid w:val="006807EB"/>
    <w:rsid w:val="00685134"/>
    <w:rsid w:val="00685EE8"/>
    <w:rsid w:val="006917B9"/>
    <w:rsid w:val="006B438F"/>
    <w:rsid w:val="006C1CBC"/>
    <w:rsid w:val="006C2BDF"/>
    <w:rsid w:val="006C7A22"/>
    <w:rsid w:val="006F2DA3"/>
    <w:rsid w:val="00702A32"/>
    <w:rsid w:val="00726F93"/>
    <w:rsid w:val="00735DAD"/>
    <w:rsid w:val="00740FAD"/>
    <w:rsid w:val="00763839"/>
    <w:rsid w:val="00782428"/>
    <w:rsid w:val="007A7B23"/>
    <w:rsid w:val="007B3897"/>
    <w:rsid w:val="007D1B41"/>
    <w:rsid w:val="007D1FD0"/>
    <w:rsid w:val="007E1307"/>
    <w:rsid w:val="007F26BE"/>
    <w:rsid w:val="007F3B1B"/>
    <w:rsid w:val="008034AA"/>
    <w:rsid w:val="008034E4"/>
    <w:rsid w:val="00840948"/>
    <w:rsid w:val="008611B5"/>
    <w:rsid w:val="008644BD"/>
    <w:rsid w:val="00882633"/>
    <w:rsid w:val="008864B6"/>
    <w:rsid w:val="008953E1"/>
    <w:rsid w:val="00897ABE"/>
    <w:rsid w:val="008A7FFB"/>
    <w:rsid w:val="008C574B"/>
    <w:rsid w:val="008D2766"/>
    <w:rsid w:val="008D7AB8"/>
    <w:rsid w:val="008E5C32"/>
    <w:rsid w:val="008E5FEA"/>
    <w:rsid w:val="008F3A59"/>
    <w:rsid w:val="008F7BCC"/>
    <w:rsid w:val="00904752"/>
    <w:rsid w:val="009060ED"/>
    <w:rsid w:val="0091029E"/>
    <w:rsid w:val="009305BF"/>
    <w:rsid w:val="00941B61"/>
    <w:rsid w:val="00962653"/>
    <w:rsid w:val="00965350"/>
    <w:rsid w:val="009A1A33"/>
    <w:rsid w:val="009A2130"/>
    <w:rsid w:val="009D57BE"/>
    <w:rsid w:val="009D6F54"/>
    <w:rsid w:val="009F37E4"/>
    <w:rsid w:val="009F7917"/>
    <w:rsid w:val="00A020F8"/>
    <w:rsid w:val="00A05EDE"/>
    <w:rsid w:val="00A16AC5"/>
    <w:rsid w:val="00A345F0"/>
    <w:rsid w:val="00A515AE"/>
    <w:rsid w:val="00A518D3"/>
    <w:rsid w:val="00A5487B"/>
    <w:rsid w:val="00A7035F"/>
    <w:rsid w:val="00A72661"/>
    <w:rsid w:val="00AB12B1"/>
    <w:rsid w:val="00AB45DC"/>
    <w:rsid w:val="00AC21FB"/>
    <w:rsid w:val="00B15AAF"/>
    <w:rsid w:val="00B32509"/>
    <w:rsid w:val="00B41DE8"/>
    <w:rsid w:val="00B45EAD"/>
    <w:rsid w:val="00B51C75"/>
    <w:rsid w:val="00B62D50"/>
    <w:rsid w:val="00B65653"/>
    <w:rsid w:val="00B7253A"/>
    <w:rsid w:val="00B85489"/>
    <w:rsid w:val="00B91ECC"/>
    <w:rsid w:val="00B92C78"/>
    <w:rsid w:val="00B97944"/>
    <w:rsid w:val="00BB09EA"/>
    <w:rsid w:val="00BB24CB"/>
    <w:rsid w:val="00BB6D50"/>
    <w:rsid w:val="00BC138F"/>
    <w:rsid w:val="00BD6B01"/>
    <w:rsid w:val="00BE1C12"/>
    <w:rsid w:val="00BE6D7C"/>
    <w:rsid w:val="00BF5AFB"/>
    <w:rsid w:val="00C00966"/>
    <w:rsid w:val="00C27F97"/>
    <w:rsid w:val="00C33642"/>
    <w:rsid w:val="00C37CF9"/>
    <w:rsid w:val="00C74594"/>
    <w:rsid w:val="00C80C2B"/>
    <w:rsid w:val="00C971C9"/>
    <w:rsid w:val="00CA300F"/>
    <w:rsid w:val="00CB04EC"/>
    <w:rsid w:val="00CB129A"/>
    <w:rsid w:val="00CE10FB"/>
    <w:rsid w:val="00D02CC6"/>
    <w:rsid w:val="00D14E4C"/>
    <w:rsid w:val="00D40A81"/>
    <w:rsid w:val="00D427F8"/>
    <w:rsid w:val="00D52EBC"/>
    <w:rsid w:val="00D61541"/>
    <w:rsid w:val="00D7597D"/>
    <w:rsid w:val="00D77329"/>
    <w:rsid w:val="00D906EF"/>
    <w:rsid w:val="00D90AEC"/>
    <w:rsid w:val="00D9224A"/>
    <w:rsid w:val="00D95ED2"/>
    <w:rsid w:val="00D960EA"/>
    <w:rsid w:val="00DD4F73"/>
    <w:rsid w:val="00DD596E"/>
    <w:rsid w:val="00DE4FE4"/>
    <w:rsid w:val="00DF203C"/>
    <w:rsid w:val="00DF6374"/>
    <w:rsid w:val="00E22514"/>
    <w:rsid w:val="00E24399"/>
    <w:rsid w:val="00E307F3"/>
    <w:rsid w:val="00E327A0"/>
    <w:rsid w:val="00E35913"/>
    <w:rsid w:val="00E6065A"/>
    <w:rsid w:val="00E73F98"/>
    <w:rsid w:val="00E752FE"/>
    <w:rsid w:val="00E75AEB"/>
    <w:rsid w:val="00E872F9"/>
    <w:rsid w:val="00E950B9"/>
    <w:rsid w:val="00EA514F"/>
    <w:rsid w:val="00EB02D5"/>
    <w:rsid w:val="00EB6AEA"/>
    <w:rsid w:val="00EB6EEF"/>
    <w:rsid w:val="00EB71F0"/>
    <w:rsid w:val="00EC50D1"/>
    <w:rsid w:val="00EF120D"/>
    <w:rsid w:val="00EF3D46"/>
    <w:rsid w:val="00EF4B06"/>
    <w:rsid w:val="00F03160"/>
    <w:rsid w:val="00F1489A"/>
    <w:rsid w:val="00F3100F"/>
    <w:rsid w:val="00F321A3"/>
    <w:rsid w:val="00F362A6"/>
    <w:rsid w:val="00F51255"/>
    <w:rsid w:val="00F53A5E"/>
    <w:rsid w:val="00F53DA0"/>
    <w:rsid w:val="00F6241E"/>
    <w:rsid w:val="00F6662D"/>
    <w:rsid w:val="00F673E6"/>
    <w:rsid w:val="00F71BCF"/>
    <w:rsid w:val="00F74AAB"/>
    <w:rsid w:val="00F74D7D"/>
    <w:rsid w:val="00F914A1"/>
    <w:rsid w:val="00FC12BD"/>
    <w:rsid w:val="00FC6142"/>
    <w:rsid w:val="00FD6082"/>
    <w:rsid w:val="00FF6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1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518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D7D"/>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F74D7D"/>
    <w:pPr>
      <w:spacing w:line="281" w:lineRule="atLeast"/>
    </w:pPr>
    <w:rPr>
      <w:color w:val="auto"/>
    </w:rPr>
  </w:style>
  <w:style w:type="character" w:customStyle="1" w:styleId="A0">
    <w:name w:val="A0"/>
    <w:uiPriority w:val="99"/>
    <w:rsid w:val="00F74D7D"/>
    <w:rPr>
      <w:b/>
      <w:bCs/>
      <w:color w:val="00519B"/>
      <w:sz w:val="64"/>
      <w:szCs w:val="64"/>
    </w:rPr>
  </w:style>
  <w:style w:type="paragraph" w:customStyle="1" w:styleId="Pa3">
    <w:name w:val="Pa3"/>
    <w:basedOn w:val="Default"/>
    <w:next w:val="Default"/>
    <w:uiPriority w:val="99"/>
    <w:rsid w:val="00F74D7D"/>
    <w:pPr>
      <w:spacing w:line="201" w:lineRule="atLeast"/>
    </w:pPr>
    <w:rPr>
      <w:color w:val="auto"/>
    </w:rPr>
  </w:style>
  <w:style w:type="paragraph" w:customStyle="1" w:styleId="Pa2">
    <w:name w:val="Pa2"/>
    <w:basedOn w:val="Default"/>
    <w:next w:val="Default"/>
    <w:uiPriority w:val="99"/>
    <w:rsid w:val="00F74D7D"/>
    <w:pPr>
      <w:spacing w:line="201" w:lineRule="atLeast"/>
    </w:pPr>
    <w:rPr>
      <w:color w:val="auto"/>
    </w:rPr>
  </w:style>
  <w:style w:type="paragraph" w:customStyle="1" w:styleId="Pa6">
    <w:name w:val="Pa6"/>
    <w:basedOn w:val="Default"/>
    <w:next w:val="Default"/>
    <w:uiPriority w:val="99"/>
    <w:rsid w:val="00F74D7D"/>
    <w:pPr>
      <w:spacing w:line="241" w:lineRule="atLeast"/>
    </w:pPr>
    <w:rPr>
      <w:color w:val="auto"/>
    </w:rPr>
  </w:style>
  <w:style w:type="character" w:customStyle="1" w:styleId="A6">
    <w:name w:val="A6"/>
    <w:uiPriority w:val="99"/>
    <w:rsid w:val="00F74D7D"/>
    <w:rPr>
      <w:rFonts w:ascii="Helvetica Light" w:hAnsi="Helvetica Light" w:cs="Helvetica Light"/>
      <w:color w:val="FFFFFF"/>
      <w:sz w:val="20"/>
      <w:szCs w:val="20"/>
    </w:rPr>
  </w:style>
  <w:style w:type="character" w:customStyle="1" w:styleId="A4">
    <w:name w:val="A4"/>
    <w:uiPriority w:val="99"/>
    <w:rsid w:val="001700F5"/>
    <w:rPr>
      <w:rFonts w:cs="Helvetica Light"/>
      <w:color w:val="000000"/>
      <w:sz w:val="20"/>
      <w:szCs w:val="20"/>
    </w:rPr>
  </w:style>
  <w:style w:type="character" w:customStyle="1" w:styleId="A7">
    <w:name w:val="A7"/>
    <w:uiPriority w:val="99"/>
    <w:rsid w:val="001700F5"/>
    <w:rPr>
      <w:rFonts w:cs="Helvetica Light"/>
      <w:color w:val="000000"/>
      <w:sz w:val="20"/>
      <w:szCs w:val="20"/>
      <w:u w:val="single"/>
    </w:rPr>
  </w:style>
  <w:style w:type="paragraph" w:styleId="ListParagraph">
    <w:name w:val="List Paragraph"/>
    <w:basedOn w:val="Normal"/>
    <w:uiPriority w:val="34"/>
    <w:qFormat/>
    <w:rsid w:val="000C12C4"/>
    <w:pPr>
      <w:ind w:left="720"/>
      <w:contextualSpacing/>
    </w:pPr>
  </w:style>
  <w:style w:type="character" w:customStyle="1" w:styleId="Heading1Char">
    <w:name w:val="Heading 1 Char"/>
    <w:basedOn w:val="DefaultParagraphFont"/>
    <w:link w:val="Heading1"/>
    <w:uiPriority w:val="9"/>
    <w:rsid w:val="00A51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18D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518D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18D3"/>
    <w:rPr>
      <w:color w:val="0000FF"/>
      <w:u w:val="single"/>
    </w:rPr>
  </w:style>
  <w:style w:type="paragraph" w:styleId="NormalWeb">
    <w:name w:val="Normal (Web)"/>
    <w:basedOn w:val="Normal"/>
    <w:uiPriority w:val="99"/>
    <w:semiHidden/>
    <w:unhideWhenUsed/>
    <w:rsid w:val="00A518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8D3"/>
    <w:rPr>
      <w:i/>
      <w:iCs/>
    </w:rPr>
  </w:style>
  <w:style w:type="character" w:styleId="Strong">
    <w:name w:val="Strong"/>
    <w:basedOn w:val="DefaultParagraphFont"/>
    <w:uiPriority w:val="22"/>
    <w:qFormat/>
    <w:rsid w:val="00A518D3"/>
    <w:rPr>
      <w:b/>
      <w:bCs/>
    </w:rPr>
  </w:style>
  <w:style w:type="paragraph" w:styleId="Header">
    <w:name w:val="header"/>
    <w:basedOn w:val="Normal"/>
    <w:link w:val="HeaderChar"/>
    <w:uiPriority w:val="99"/>
    <w:semiHidden/>
    <w:unhideWhenUsed/>
    <w:rsid w:val="00052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A51"/>
  </w:style>
  <w:style w:type="paragraph" w:styleId="Footer">
    <w:name w:val="footer"/>
    <w:basedOn w:val="Normal"/>
    <w:link w:val="FooterChar"/>
    <w:uiPriority w:val="99"/>
    <w:semiHidden/>
    <w:unhideWhenUsed/>
    <w:rsid w:val="00052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A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18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518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A518D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74D7D"/>
    <w:pPr>
      <w:autoSpaceDE w:val="0"/>
      <w:autoSpaceDN w:val="0"/>
      <w:adjustRightInd w:val="0"/>
      <w:spacing w:after="0" w:line="240" w:lineRule="auto"/>
    </w:pPr>
    <w:rPr>
      <w:rFonts w:ascii="Helvetica" w:hAnsi="Helvetica" w:cs="Helvetica"/>
      <w:color w:val="000000"/>
      <w:sz w:val="24"/>
      <w:szCs w:val="24"/>
    </w:rPr>
  </w:style>
  <w:style w:type="paragraph" w:customStyle="1" w:styleId="Pa0">
    <w:name w:val="Pa0"/>
    <w:basedOn w:val="Default"/>
    <w:next w:val="Default"/>
    <w:uiPriority w:val="99"/>
    <w:rsid w:val="00F74D7D"/>
    <w:pPr>
      <w:spacing w:line="281" w:lineRule="atLeast"/>
    </w:pPr>
    <w:rPr>
      <w:color w:val="auto"/>
    </w:rPr>
  </w:style>
  <w:style w:type="character" w:customStyle="1" w:styleId="A0">
    <w:name w:val="A0"/>
    <w:uiPriority w:val="99"/>
    <w:rsid w:val="00F74D7D"/>
    <w:rPr>
      <w:b/>
      <w:bCs/>
      <w:color w:val="00519B"/>
      <w:sz w:val="64"/>
      <w:szCs w:val="64"/>
    </w:rPr>
  </w:style>
  <w:style w:type="paragraph" w:customStyle="1" w:styleId="Pa3">
    <w:name w:val="Pa3"/>
    <w:basedOn w:val="Default"/>
    <w:next w:val="Default"/>
    <w:uiPriority w:val="99"/>
    <w:rsid w:val="00F74D7D"/>
    <w:pPr>
      <w:spacing w:line="201" w:lineRule="atLeast"/>
    </w:pPr>
    <w:rPr>
      <w:color w:val="auto"/>
    </w:rPr>
  </w:style>
  <w:style w:type="paragraph" w:customStyle="1" w:styleId="Pa2">
    <w:name w:val="Pa2"/>
    <w:basedOn w:val="Default"/>
    <w:next w:val="Default"/>
    <w:uiPriority w:val="99"/>
    <w:rsid w:val="00F74D7D"/>
    <w:pPr>
      <w:spacing w:line="201" w:lineRule="atLeast"/>
    </w:pPr>
    <w:rPr>
      <w:color w:val="auto"/>
    </w:rPr>
  </w:style>
  <w:style w:type="paragraph" w:customStyle="1" w:styleId="Pa6">
    <w:name w:val="Pa6"/>
    <w:basedOn w:val="Default"/>
    <w:next w:val="Default"/>
    <w:uiPriority w:val="99"/>
    <w:rsid w:val="00F74D7D"/>
    <w:pPr>
      <w:spacing w:line="241" w:lineRule="atLeast"/>
    </w:pPr>
    <w:rPr>
      <w:color w:val="auto"/>
    </w:rPr>
  </w:style>
  <w:style w:type="character" w:customStyle="1" w:styleId="A6">
    <w:name w:val="A6"/>
    <w:uiPriority w:val="99"/>
    <w:rsid w:val="00F74D7D"/>
    <w:rPr>
      <w:rFonts w:ascii="Helvetica Light" w:hAnsi="Helvetica Light" w:cs="Helvetica Light"/>
      <w:color w:val="FFFFFF"/>
      <w:sz w:val="20"/>
      <w:szCs w:val="20"/>
    </w:rPr>
  </w:style>
  <w:style w:type="character" w:customStyle="1" w:styleId="A4">
    <w:name w:val="A4"/>
    <w:uiPriority w:val="99"/>
    <w:rsid w:val="001700F5"/>
    <w:rPr>
      <w:rFonts w:cs="Helvetica Light"/>
      <w:color w:val="000000"/>
      <w:sz w:val="20"/>
      <w:szCs w:val="20"/>
    </w:rPr>
  </w:style>
  <w:style w:type="character" w:customStyle="1" w:styleId="A7">
    <w:name w:val="A7"/>
    <w:uiPriority w:val="99"/>
    <w:rsid w:val="001700F5"/>
    <w:rPr>
      <w:rFonts w:cs="Helvetica Light"/>
      <w:color w:val="000000"/>
      <w:sz w:val="20"/>
      <w:szCs w:val="20"/>
      <w:u w:val="single"/>
    </w:rPr>
  </w:style>
  <w:style w:type="paragraph" w:styleId="ListParagraph">
    <w:name w:val="List Paragraph"/>
    <w:basedOn w:val="Normal"/>
    <w:uiPriority w:val="34"/>
    <w:qFormat/>
    <w:rsid w:val="000C12C4"/>
    <w:pPr>
      <w:ind w:left="720"/>
      <w:contextualSpacing/>
    </w:pPr>
  </w:style>
  <w:style w:type="character" w:customStyle="1" w:styleId="Heading1Char">
    <w:name w:val="Heading 1 Char"/>
    <w:basedOn w:val="DefaultParagraphFont"/>
    <w:link w:val="Heading1"/>
    <w:uiPriority w:val="9"/>
    <w:rsid w:val="00A518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518D3"/>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A518D3"/>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A518D3"/>
    <w:rPr>
      <w:color w:val="0000FF"/>
      <w:u w:val="single"/>
    </w:rPr>
  </w:style>
  <w:style w:type="paragraph" w:styleId="NormalWeb">
    <w:name w:val="Normal (Web)"/>
    <w:basedOn w:val="Normal"/>
    <w:uiPriority w:val="99"/>
    <w:semiHidden/>
    <w:unhideWhenUsed/>
    <w:rsid w:val="00A518D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518D3"/>
    <w:rPr>
      <w:i/>
      <w:iCs/>
    </w:rPr>
  </w:style>
  <w:style w:type="character" w:styleId="Strong">
    <w:name w:val="Strong"/>
    <w:basedOn w:val="DefaultParagraphFont"/>
    <w:uiPriority w:val="22"/>
    <w:qFormat/>
    <w:rsid w:val="00A518D3"/>
    <w:rPr>
      <w:b/>
      <w:bCs/>
    </w:rPr>
  </w:style>
  <w:style w:type="paragraph" w:styleId="Header">
    <w:name w:val="header"/>
    <w:basedOn w:val="Normal"/>
    <w:link w:val="HeaderChar"/>
    <w:uiPriority w:val="99"/>
    <w:semiHidden/>
    <w:unhideWhenUsed/>
    <w:rsid w:val="00052A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2A51"/>
  </w:style>
  <w:style w:type="paragraph" w:styleId="Footer">
    <w:name w:val="footer"/>
    <w:basedOn w:val="Normal"/>
    <w:link w:val="FooterChar"/>
    <w:uiPriority w:val="99"/>
    <w:semiHidden/>
    <w:unhideWhenUsed/>
    <w:rsid w:val="00052A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2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50522">
      <w:bodyDiv w:val="1"/>
      <w:marLeft w:val="0"/>
      <w:marRight w:val="0"/>
      <w:marTop w:val="0"/>
      <w:marBottom w:val="0"/>
      <w:divBdr>
        <w:top w:val="none" w:sz="0" w:space="0" w:color="auto"/>
        <w:left w:val="none" w:sz="0" w:space="0" w:color="auto"/>
        <w:bottom w:val="none" w:sz="0" w:space="0" w:color="auto"/>
        <w:right w:val="none" w:sz="0" w:space="0" w:color="auto"/>
      </w:divBdr>
      <w:divsChild>
        <w:div w:id="850335815">
          <w:marLeft w:val="0"/>
          <w:marRight w:val="0"/>
          <w:marTop w:val="0"/>
          <w:marBottom w:val="0"/>
          <w:divBdr>
            <w:top w:val="none" w:sz="0" w:space="0" w:color="auto"/>
            <w:left w:val="none" w:sz="0" w:space="0" w:color="auto"/>
            <w:bottom w:val="none" w:sz="0" w:space="0" w:color="auto"/>
            <w:right w:val="none" w:sz="0" w:space="0" w:color="auto"/>
          </w:divBdr>
          <w:divsChild>
            <w:div w:id="55860142">
              <w:marLeft w:val="0"/>
              <w:marRight w:val="0"/>
              <w:marTop w:val="0"/>
              <w:marBottom w:val="0"/>
              <w:divBdr>
                <w:top w:val="none" w:sz="0" w:space="0" w:color="auto"/>
                <w:left w:val="none" w:sz="0" w:space="0" w:color="auto"/>
                <w:bottom w:val="none" w:sz="0" w:space="0" w:color="auto"/>
                <w:right w:val="none" w:sz="0" w:space="0" w:color="auto"/>
              </w:divBdr>
              <w:divsChild>
                <w:div w:id="1740983658">
                  <w:marLeft w:val="0"/>
                  <w:marRight w:val="0"/>
                  <w:marTop w:val="0"/>
                  <w:marBottom w:val="0"/>
                  <w:divBdr>
                    <w:top w:val="none" w:sz="0" w:space="0" w:color="auto"/>
                    <w:left w:val="none" w:sz="0" w:space="0" w:color="auto"/>
                    <w:bottom w:val="none" w:sz="0" w:space="0" w:color="auto"/>
                    <w:right w:val="none" w:sz="0" w:space="0" w:color="auto"/>
                  </w:divBdr>
                  <w:divsChild>
                    <w:div w:id="2123768780">
                      <w:marLeft w:val="0"/>
                      <w:marRight w:val="0"/>
                      <w:marTop w:val="0"/>
                      <w:marBottom w:val="0"/>
                      <w:divBdr>
                        <w:top w:val="none" w:sz="0" w:space="0" w:color="auto"/>
                        <w:left w:val="none" w:sz="0" w:space="0" w:color="auto"/>
                        <w:bottom w:val="none" w:sz="0" w:space="0" w:color="auto"/>
                        <w:right w:val="none" w:sz="0" w:space="0" w:color="auto"/>
                      </w:divBdr>
                      <w:divsChild>
                        <w:div w:id="1082527708">
                          <w:marLeft w:val="0"/>
                          <w:marRight w:val="0"/>
                          <w:marTop w:val="0"/>
                          <w:marBottom w:val="0"/>
                          <w:divBdr>
                            <w:top w:val="none" w:sz="0" w:space="0" w:color="auto"/>
                            <w:left w:val="none" w:sz="0" w:space="0" w:color="auto"/>
                            <w:bottom w:val="none" w:sz="0" w:space="0" w:color="auto"/>
                            <w:right w:val="none" w:sz="0" w:space="0" w:color="auto"/>
                          </w:divBdr>
                          <w:divsChild>
                            <w:div w:id="567426731">
                              <w:marLeft w:val="0"/>
                              <w:marRight w:val="0"/>
                              <w:marTop w:val="0"/>
                              <w:marBottom w:val="0"/>
                              <w:divBdr>
                                <w:top w:val="none" w:sz="0" w:space="0" w:color="auto"/>
                                <w:left w:val="none" w:sz="0" w:space="0" w:color="auto"/>
                                <w:bottom w:val="none" w:sz="0" w:space="0" w:color="auto"/>
                                <w:right w:val="none" w:sz="0" w:space="0" w:color="auto"/>
                              </w:divBdr>
                              <w:divsChild>
                                <w:div w:id="1209487830">
                                  <w:marLeft w:val="0"/>
                                  <w:marRight w:val="0"/>
                                  <w:marTop w:val="0"/>
                                  <w:marBottom w:val="0"/>
                                  <w:divBdr>
                                    <w:top w:val="none" w:sz="0" w:space="0" w:color="auto"/>
                                    <w:left w:val="none" w:sz="0" w:space="0" w:color="auto"/>
                                    <w:bottom w:val="none" w:sz="0" w:space="0" w:color="auto"/>
                                    <w:right w:val="none" w:sz="0" w:space="0" w:color="auto"/>
                                  </w:divBdr>
                                  <w:divsChild>
                                    <w:div w:id="715668109">
                                      <w:marLeft w:val="0"/>
                                      <w:marRight w:val="0"/>
                                      <w:marTop w:val="0"/>
                                      <w:marBottom w:val="0"/>
                                      <w:divBdr>
                                        <w:top w:val="none" w:sz="0" w:space="0" w:color="auto"/>
                                        <w:left w:val="none" w:sz="0" w:space="0" w:color="auto"/>
                                        <w:bottom w:val="none" w:sz="0" w:space="0" w:color="auto"/>
                                        <w:right w:val="none" w:sz="0" w:space="0" w:color="auto"/>
                                      </w:divBdr>
                                      <w:divsChild>
                                        <w:div w:id="21431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ioffice@wakehealth.edu" TargetMode="External"/><Relationship Id="rId5" Type="http://schemas.openxmlformats.org/officeDocument/2006/relationships/settings" Target="settings.xml"/><Relationship Id="rId10" Type="http://schemas.openxmlformats.org/officeDocument/2006/relationships/hyperlink" Target="mailto:OPENPAYMENTS@cms.hhs.gov" TargetMode="External"/><Relationship Id="rId4" Type="http://schemas.microsoft.com/office/2007/relationships/stylesWithEffects" Target="stylesWithEffects.xml"/><Relationship Id="rId9" Type="http://schemas.openxmlformats.org/officeDocument/2006/relationships/hyperlink" Target="http://www.cms.gov/Regulations-and-Guidance/Legislation/National-Physician-Payment-Transparency-Program/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99B1C-D510-40BA-807B-2BF58521D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1539</Words>
  <Characters>8776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10295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tanderso</dc:creator>
  <cp:lastModifiedBy>WFBMC</cp:lastModifiedBy>
  <cp:revision>2</cp:revision>
  <cp:lastPrinted>2013-08-02T13:58:00Z</cp:lastPrinted>
  <dcterms:created xsi:type="dcterms:W3CDTF">2018-01-17T22:22:00Z</dcterms:created>
  <dcterms:modified xsi:type="dcterms:W3CDTF">2018-01-17T22:22:00Z</dcterms:modified>
</cp:coreProperties>
</file>